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3F3" w:rsidRPr="006F1CBE" w:rsidRDefault="006F13F3" w:rsidP="006F13F3">
      <w:pPr>
        <w:pStyle w:val="p13"/>
        <w:tabs>
          <w:tab w:val="left" w:pos="379"/>
        </w:tabs>
        <w:spacing w:line="276" w:lineRule="auto"/>
        <w:ind w:left="0" w:firstLine="0"/>
        <w:rPr>
          <w:b/>
          <w:bCs/>
          <w:color w:val="000000" w:themeColor="text1"/>
          <w:sz w:val="22"/>
          <w:szCs w:val="22"/>
        </w:rPr>
      </w:pPr>
      <w:r w:rsidRPr="006F1CBE">
        <w:rPr>
          <w:b/>
          <w:bCs/>
          <w:color w:val="000000" w:themeColor="text1"/>
          <w:sz w:val="22"/>
          <w:szCs w:val="22"/>
        </w:rPr>
        <w:t xml:space="preserve">Dysfunctional Voiding (Objective I.4, 1.5) </w:t>
      </w:r>
    </w:p>
    <w:p w:rsidR="006F13F3" w:rsidRPr="006F1CBE" w:rsidRDefault="006F13F3" w:rsidP="006F13F3">
      <w:pPr>
        <w:pStyle w:val="p13"/>
        <w:numPr>
          <w:ilvl w:val="0"/>
          <w:numId w:val="1"/>
        </w:numPr>
        <w:tabs>
          <w:tab w:val="left" w:pos="379"/>
        </w:tabs>
        <w:spacing w:line="276" w:lineRule="auto"/>
        <w:rPr>
          <w:bCs/>
          <w:color w:val="000000" w:themeColor="text1"/>
          <w:sz w:val="22"/>
          <w:szCs w:val="22"/>
        </w:rPr>
      </w:pPr>
      <w:r w:rsidRPr="006F1CBE">
        <w:rPr>
          <w:b/>
          <w:bCs/>
          <w:color w:val="000000" w:themeColor="text1"/>
          <w:sz w:val="22"/>
          <w:szCs w:val="22"/>
        </w:rPr>
        <w:t>Lower Urinary Tract Dysfunction (Objective I.4, 1.5)</w:t>
      </w:r>
    </w:p>
    <w:p w:rsidR="006F13F3" w:rsidRPr="006F1CBE" w:rsidRDefault="006F13F3" w:rsidP="006F13F3">
      <w:pPr>
        <w:pStyle w:val="p13"/>
        <w:numPr>
          <w:ilvl w:val="1"/>
          <w:numId w:val="1"/>
        </w:numPr>
        <w:tabs>
          <w:tab w:val="left" w:pos="379"/>
        </w:tabs>
        <w:spacing w:line="276" w:lineRule="auto"/>
        <w:rPr>
          <w:bCs/>
          <w:color w:val="000000" w:themeColor="text1"/>
          <w:sz w:val="22"/>
          <w:szCs w:val="22"/>
        </w:rPr>
      </w:pPr>
      <w:hyperlink r:id="rId5" w:history="1">
        <w:r w:rsidRPr="006F1CBE">
          <w:rPr>
            <w:rStyle w:val="Hyperlink"/>
            <w:b/>
            <w:bCs/>
            <w:sz w:val="22"/>
            <w:szCs w:val="22"/>
          </w:rPr>
          <w:t>Lower urinary tract dysfunction (LUTD)</w:t>
        </w:r>
      </w:hyperlink>
      <w:r w:rsidRPr="006F1CBE">
        <w:rPr>
          <w:b/>
          <w:bCs/>
          <w:color w:val="4472C4" w:themeColor="accent1"/>
          <w:sz w:val="22"/>
          <w:szCs w:val="22"/>
        </w:rPr>
        <w:t xml:space="preserve"> </w:t>
      </w:r>
      <w:r w:rsidRPr="006F1CBE">
        <w:rPr>
          <w:bCs/>
          <w:color w:val="000000" w:themeColor="text1"/>
          <w:sz w:val="22"/>
          <w:szCs w:val="22"/>
        </w:rPr>
        <w:t>impacts</w:t>
      </w:r>
      <w:r w:rsidRPr="006F1CBE">
        <w:rPr>
          <w:bCs/>
          <w:color w:val="4472C4" w:themeColor="accent1"/>
          <w:sz w:val="22"/>
          <w:szCs w:val="22"/>
        </w:rPr>
        <w:t xml:space="preserve"> </w:t>
      </w:r>
      <w:r w:rsidRPr="006F1CBE">
        <w:rPr>
          <w:bCs/>
          <w:color w:val="000000" w:themeColor="text1"/>
          <w:sz w:val="22"/>
          <w:szCs w:val="22"/>
        </w:rPr>
        <w:t>up to 22% of children and includes over/under active bladder, voiding postponement, infrequent voiding, increased daytime frequency, vaginal reflux, bladder neck dysfunction, and giggle incontinence. Lower urinary tract dysfunction increases the risk of vesicoureteral reflux and urinary tract infections. With time, this may result in renal scarring and chronic kidney disease. LUTD is commonly associated with bowel dysfunction including constipation, behavioral abnormalities, and psychiatric conditions (Fuentes 2019).</w:t>
      </w:r>
    </w:p>
    <w:p w:rsidR="006F13F3" w:rsidRPr="006F1CBE" w:rsidRDefault="006F13F3" w:rsidP="006F13F3">
      <w:pPr>
        <w:pStyle w:val="p13"/>
        <w:numPr>
          <w:ilvl w:val="1"/>
          <w:numId w:val="1"/>
        </w:numPr>
        <w:tabs>
          <w:tab w:val="left" w:pos="379"/>
        </w:tabs>
        <w:spacing w:line="276" w:lineRule="auto"/>
        <w:rPr>
          <w:bCs/>
          <w:color w:val="000000" w:themeColor="text1"/>
          <w:sz w:val="22"/>
          <w:szCs w:val="22"/>
        </w:rPr>
      </w:pPr>
      <w:r w:rsidRPr="006F1CBE">
        <w:rPr>
          <w:bCs/>
          <w:color w:val="000000" w:themeColor="text1"/>
          <w:sz w:val="22"/>
          <w:szCs w:val="22"/>
        </w:rPr>
        <w:t xml:space="preserve">The following flow chart illustrates the diagnostic steps of LUTD (Fuentes 2019). The </w:t>
      </w:r>
      <w:hyperlink r:id="rId6" w:history="1">
        <w:r w:rsidRPr="006F1CBE">
          <w:rPr>
            <w:rStyle w:val="Hyperlink"/>
            <w:b/>
            <w:bCs/>
            <w:sz w:val="22"/>
            <w:szCs w:val="22"/>
          </w:rPr>
          <w:t>Dysfunctional Voiding Symptom Survey</w:t>
        </w:r>
      </w:hyperlink>
      <w:r w:rsidRPr="006F1CBE">
        <w:rPr>
          <w:bCs/>
          <w:color w:val="4472C4" w:themeColor="accent1"/>
          <w:sz w:val="22"/>
          <w:szCs w:val="22"/>
        </w:rPr>
        <w:t xml:space="preserve"> </w:t>
      </w:r>
      <w:r w:rsidRPr="006F1CBE">
        <w:rPr>
          <w:bCs/>
          <w:color w:val="000000" w:themeColor="text1"/>
          <w:sz w:val="22"/>
          <w:szCs w:val="22"/>
        </w:rPr>
        <w:t xml:space="preserve">created by Farhat et al. 2000 provides a quantitative approach to characterize the severity of LUTD (Farhat 2000). </w:t>
      </w:r>
    </w:p>
    <w:p w:rsidR="006F13F3" w:rsidRPr="006F1CBE" w:rsidRDefault="006F13F3" w:rsidP="006F13F3">
      <w:pPr>
        <w:pStyle w:val="p13"/>
        <w:tabs>
          <w:tab w:val="left" w:pos="379"/>
        </w:tabs>
        <w:spacing w:line="276" w:lineRule="auto"/>
        <w:ind w:left="0" w:firstLine="0"/>
        <w:jc w:val="center"/>
        <w:rPr>
          <w:b/>
          <w:bCs/>
          <w:color w:val="000000" w:themeColor="text1"/>
          <w:sz w:val="22"/>
          <w:szCs w:val="22"/>
        </w:rPr>
      </w:pPr>
      <w:r w:rsidRPr="006F1CBE">
        <w:rPr>
          <w:noProof/>
          <w:sz w:val="22"/>
          <w:szCs w:val="22"/>
        </w:rPr>
        <w:drawing>
          <wp:inline distT="0" distB="0" distL="0" distR="0" wp14:anchorId="663A81FB" wp14:editId="6D995572">
            <wp:extent cx="3848100" cy="2336172"/>
            <wp:effectExtent l="0" t="0" r="0" b="6985"/>
            <wp:docPr id="9" name="Picture 9" descr="https://www.ncbi.nlm.nih.gov/corecgi/tileshop/tileshop.fcgi?p=PMC3&amp;id=965966&amp;s=90&amp;r=1&am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cbi.nlm.nih.gov/corecgi/tileshop/tileshop.fcgi?p=PMC3&amp;id=965966&amp;s=90&amp;r=1&amp;c=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8087" cy="2348306"/>
                    </a:xfrm>
                    <a:prstGeom prst="rect">
                      <a:avLst/>
                    </a:prstGeom>
                    <a:noFill/>
                    <a:ln>
                      <a:noFill/>
                    </a:ln>
                  </pic:spPr>
                </pic:pic>
              </a:graphicData>
            </a:graphic>
          </wp:inline>
        </w:drawing>
      </w:r>
    </w:p>
    <w:p w:rsidR="006F13F3" w:rsidRPr="002F53E2" w:rsidRDefault="006F13F3" w:rsidP="006F13F3">
      <w:pPr>
        <w:pStyle w:val="p13"/>
        <w:tabs>
          <w:tab w:val="left" w:pos="379"/>
        </w:tabs>
        <w:spacing w:line="276" w:lineRule="auto"/>
        <w:ind w:left="0" w:firstLine="0"/>
        <w:jc w:val="right"/>
        <w:rPr>
          <w:bCs/>
          <w:color w:val="000000" w:themeColor="text1"/>
          <w:sz w:val="22"/>
          <w:szCs w:val="22"/>
        </w:rPr>
      </w:pPr>
      <w:r w:rsidRPr="002F53E2">
        <w:rPr>
          <w:bCs/>
          <w:color w:val="000000" w:themeColor="text1"/>
          <w:sz w:val="22"/>
          <w:szCs w:val="22"/>
        </w:rPr>
        <w:t>Fuentes 2019</w:t>
      </w:r>
    </w:p>
    <w:p w:rsidR="006F13F3" w:rsidRPr="006F1CBE" w:rsidRDefault="006F13F3" w:rsidP="006F13F3">
      <w:pPr>
        <w:pStyle w:val="ListParagraph"/>
        <w:numPr>
          <w:ilvl w:val="1"/>
          <w:numId w:val="1"/>
        </w:numPr>
        <w:shd w:val="clear" w:color="auto" w:fill="FFFFFF"/>
        <w:spacing w:line="276" w:lineRule="auto"/>
        <w:rPr>
          <w:rFonts w:eastAsia="Times New Roman"/>
          <w:iCs/>
          <w:sz w:val="22"/>
          <w:szCs w:val="22"/>
          <w:lang w:val="en"/>
        </w:rPr>
      </w:pPr>
      <w:r w:rsidRPr="006F1CBE">
        <w:rPr>
          <w:rFonts w:eastAsia="Times New Roman"/>
          <w:iCs/>
          <w:sz w:val="22"/>
          <w:szCs w:val="22"/>
          <w:lang w:val="en"/>
        </w:rPr>
        <w:t xml:space="preserve">The mainstay of treatment for LUTD is behavioral therapy. The focus of the therapy is timed voiding every 3 hours in the proper position, adequate fluid intake, diet with limited caffeine consumption, and correction of constipation. Second line therapy includes medications such as antimuscarinics or beta-3 agonists (Fuentes 2019). </w:t>
      </w:r>
    </w:p>
    <w:p w:rsidR="006F13F3" w:rsidRPr="006F1CBE" w:rsidRDefault="006F13F3" w:rsidP="006F13F3">
      <w:pPr>
        <w:pStyle w:val="ListParagraph"/>
        <w:numPr>
          <w:ilvl w:val="0"/>
          <w:numId w:val="1"/>
        </w:numPr>
        <w:shd w:val="clear" w:color="auto" w:fill="FFFFFF"/>
        <w:spacing w:line="276" w:lineRule="auto"/>
        <w:rPr>
          <w:rFonts w:eastAsia="Times New Roman"/>
          <w:b/>
          <w:iCs/>
          <w:sz w:val="22"/>
          <w:szCs w:val="22"/>
          <w:lang w:val="en"/>
        </w:rPr>
      </w:pPr>
      <w:r w:rsidRPr="006F1CBE">
        <w:rPr>
          <w:rFonts w:eastAsia="Times New Roman"/>
          <w:b/>
          <w:iCs/>
          <w:sz w:val="22"/>
          <w:szCs w:val="22"/>
          <w:lang w:val="en"/>
        </w:rPr>
        <w:t xml:space="preserve">Bladder Bowel Dysfunction </w:t>
      </w:r>
      <w:r w:rsidRPr="006F1CBE">
        <w:rPr>
          <w:b/>
          <w:bCs/>
          <w:color w:val="000000" w:themeColor="text1"/>
          <w:sz w:val="22"/>
          <w:szCs w:val="22"/>
        </w:rPr>
        <w:t>(Objective I.4, I.5)</w:t>
      </w:r>
    </w:p>
    <w:p w:rsidR="006F13F3" w:rsidRPr="006F1CBE" w:rsidRDefault="006F13F3" w:rsidP="006F13F3">
      <w:pPr>
        <w:pStyle w:val="ListParagraph"/>
        <w:numPr>
          <w:ilvl w:val="1"/>
          <w:numId w:val="1"/>
        </w:numPr>
        <w:shd w:val="clear" w:color="auto" w:fill="FFFFFF"/>
        <w:spacing w:line="276" w:lineRule="auto"/>
        <w:rPr>
          <w:rFonts w:eastAsia="Times New Roman"/>
          <w:iCs/>
          <w:sz w:val="22"/>
          <w:szCs w:val="22"/>
          <w:lang w:val="en"/>
        </w:rPr>
      </w:pPr>
      <w:hyperlink r:id="rId8" w:history="1">
        <w:r w:rsidRPr="006F1CBE">
          <w:rPr>
            <w:rStyle w:val="Hyperlink"/>
            <w:rFonts w:eastAsia="Times New Roman"/>
            <w:b/>
            <w:iCs/>
            <w:sz w:val="22"/>
            <w:szCs w:val="22"/>
            <w:lang w:val="en"/>
          </w:rPr>
          <w:t>Bladder bowel dysfunction (BBD)</w:t>
        </w:r>
      </w:hyperlink>
      <w:r w:rsidRPr="006F1CBE">
        <w:rPr>
          <w:rFonts w:eastAsia="Times New Roman"/>
          <w:iCs/>
          <w:color w:val="4472C4" w:themeColor="accent1"/>
          <w:sz w:val="22"/>
          <w:szCs w:val="22"/>
          <w:lang w:val="en"/>
        </w:rPr>
        <w:t xml:space="preserve"> </w:t>
      </w:r>
      <w:r w:rsidRPr="006F1CBE">
        <w:rPr>
          <w:rFonts w:eastAsia="Times New Roman"/>
          <w:iCs/>
          <w:sz w:val="22"/>
          <w:szCs w:val="22"/>
          <w:lang w:val="en"/>
        </w:rPr>
        <w:t>is defined by the International Children’s Continence Society as simultaneous lower urinary tract and bowel dysfunction. BBD is associated with recurring urinary tract infections, vesicoureteral reflux, and renal scarring (Yang 2018).</w:t>
      </w:r>
    </w:p>
    <w:p w:rsidR="006F13F3" w:rsidRPr="006F1CBE" w:rsidRDefault="006F13F3" w:rsidP="006F13F3">
      <w:pPr>
        <w:pStyle w:val="ListParagraph"/>
        <w:numPr>
          <w:ilvl w:val="1"/>
          <w:numId w:val="1"/>
        </w:numPr>
        <w:shd w:val="clear" w:color="auto" w:fill="FFFFFF"/>
        <w:spacing w:line="276" w:lineRule="auto"/>
        <w:rPr>
          <w:rFonts w:eastAsia="Times New Roman"/>
          <w:iCs/>
          <w:sz w:val="22"/>
          <w:szCs w:val="22"/>
          <w:lang w:val="en"/>
        </w:rPr>
      </w:pPr>
      <w:r w:rsidRPr="006F1CBE">
        <w:rPr>
          <w:rFonts w:eastAsia="Times New Roman"/>
          <w:iCs/>
          <w:sz w:val="22"/>
          <w:szCs w:val="22"/>
          <w:lang w:val="en"/>
        </w:rPr>
        <w:t xml:space="preserve">The diagnosis of BBD mirrors the evaluation of lower urinary tract dysfunction, however should include the evaluation of gastrointestinal symptoms. This can be evaluated with a bowel diary, </w:t>
      </w:r>
      <w:hyperlink r:id="rId9" w:history="1">
        <w:r w:rsidRPr="006F1CBE">
          <w:rPr>
            <w:rStyle w:val="Hyperlink"/>
            <w:rFonts w:eastAsia="Times New Roman"/>
            <w:b/>
            <w:iCs/>
            <w:sz w:val="22"/>
            <w:szCs w:val="22"/>
            <w:lang w:val="en"/>
          </w:rPr>
          <w:t>ROME criteria</w:t>
        </w:r>
      </w:hyperlink>
      <w:r w:rsidRPr="006F1CBE">
        <w:rPr>
          <w:rFonts w:eastAsia="Times New Roman"/>
          <w:iCs/>
          <w:sz w:val="22"/>
          <w:szCs w:val="22"/>
          <w:lang w:val="en"/>
        </w:rPr>
        <w:t xml:space="preserve">, use of the </w:t>
      </w:r>
      <w:hyperlink r:id="rId10" w:history="1">
        <w:r w:rsidRPr="006F1CBE">
          <w:rPr>
            <w:rStyle w:val="Hyperlink"/>
            <w:rFonts w:eastAsia="Times New Roman"/>
            <w:b/>
            <w:iCs/>
            <w:sz w:val="22"/>
            <w:szCs w:val="22"/>
            <w:lang w:val="en"/>
          </w:rPr>
          <w:t>Bristol stool chart</w:t>
        </w:r>
      </w:hyperlink>
      <w:r w:rsidRPr="006F1CBE">
        <w:rPr>
          <w:rFonts w:eastAsia="Times New Roman"/>
          <w:iCs/>
          <w:sz w:val="22"/>
          <w:szCs w:val="22"/>
          <w:lang w:val="en"/>
        </w:rPr>
        <w:t xml:space="preserve">, and measurement of the transverse rectal diameter via ultrasound (Yang 2018).  </w:t>
      </w:r>
    </w:p>
    <w:p w:rsidR="006F13F3" w:rsidRPr="006F1CBE" w:rsidRDefault="006F13F3" w:rsidP="006F13F3">
      <w:pPr>
        <w:pStyle w:val="ListParagraph"/>
        <w:numPr>
          <w:ilvl w:val="1"/>
          <w:numId w:val="1"/>
        </w:numPr>
        <w:shd w:val="clear" w:color="auto" w:fill="FFFFFF"/>
        <w:spacing w:line="276" w:lineRule="auto"/>
        <w:rPr>
          <w:rFonts w:eastAsia="Times New Roman"/>
          <w:iCs/>
          <w:sz w:val="22"/>
          <w:szCs w:val="22"/>
          <w:lang w:val="en"/>
        </w:rPr>
      </w:pPr>
      <w:r w:rsidRPr="006F1CBE">
        <w:rPr>
          <w:rFonts w:eastAsia="Times New Roman"/>
          <w:iCs/>
          <w:sz w:val="22"/>
          <w:szCs w:val="22"/>
          <w:lang w:val="en"/>
        </w:rPr>
        <w:t>Treatment of bowel bladder dysfunction includes treating the voiding abnormalities as discussed above. Additionally, the treatment should focus on improving constipation with behavioral therapy and bowel regiments (Yang 2018).</w:t>
      </w:r>
      <w:r w:rsidRPr="006F1CBE">
        <w:rPr>
          <w:sz w:val="22"/>
          <w:szCs w:val="22"/>
        </w:rPr>
        <w:t xml:space="preserve"> </w:t>
      </w:r>
    </w:p>
    <w:p w:rsidR="00AD0D0B" w:rsidRDefault="00AD0D0B">
      <w:bookmarkStart w:id="0" w:name="_GoBack"/>
      <w:bookmarkEnd w:id="0"/>
    </w:p>
    <w:sectPr w:rsidR="00AD0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769E6"/>
    <w:multiLevelType w:val="hybridMultilevel"/>
    <w:tmpl w:val="578AC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3F3"/>
    <w:rsid w:val="00033D06"/>
    <w:rsid w:val="000356E5"/>
    <w:rsid w:val="0005262B"/>
    <w:rsid w:val="000577B6"/>
    <w:rsid w:val="0006029A"/>
    <w:rsid w:val="00093921"/>
    <w:rsid w:val="00093A7E"/>
    <w:rsid w:val="000B3DD7"/>
    <w:rsid w:val="000C0A46"/>
    <w:rsid w:val="000E1304"/>
    <w:rsid w:val="000E1A79"/>
    <w:rsid w:val="00101AB2"/>
    <w:rsid w:val="00132E99"/>
    <w:rsid w:val="001356F4"/>
    <w:rsid w:val="001738C7"/>
    <w:rsid w:val="00173FAB"/>
    <w:rsid w:val="00175A40"/>
    <w:rsid w:val="001812BE"/>
    <w:rsid w:val="0019626F"/>
    <w:rsid w:val="001A0E4F"/>
    <w:rsid w:val="001B7859"/>
    <w:rsid w:val="001C782E"/>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1A6F"/>
    <w:rsid w:val="002F2E12"/>
    <w:rsid w:val="0031139D"/>
    <w:rsid w:val="00313B49"/>
    <w:rsid w:val="003150AE"/>
    <w:rsid w:val="00317552"/>
    <w:rsid w:val="00350115"/>
    <w:rsid w:val="003978EE"/>
    <w:rsid w:val="003A01B4"/>
    <w:rsid w:val="003A032B"/>
    <w:rsid w:val="003A7B2F"/>
    <w:rsid w:val="003C7F78"/>
    <w:rsid w:val="003F0121"/>
    <w:rsid w:val="003F5379"/>
    <w:rsid w:val="00403AC6"/>
    <w:rsid w:val="0041022F"/>
    <w:rsid w:val="00420FC2"/>
    <w:rsid w:val="00452C81"/>
    <w:rsid w:val="00464FBF"/>
    <w:rsid w:val="004756EA"/>
    <w:rsid w:val="00485BB9"/>
    <w:rsid w:val="00494825"/>
    <w:rsid w:val="004A3A4E"/>
    <w:rsid w:val="004B7D3A"/>
    <w:rsid w:val="004E3BFF"/>
    <w:rsid w:val="004F53F6"/>
    <w:rsid w:val="00531474"/>
    <w:rsid w:val="00535E1D"/>
    <w:rsid w:val="005759FA"/>
    <w:rsid w:val="005819C1"/>
    <w:rsid w:val="005C2241"/>
    <w:rsid w:val="005C7E8A"/>
    <w:rsid w:val="005D7920"/>
    <w:rsid w:val="005E0CE8"/>
    <w:rsid w:val="00632BAB"/>
    <w:rsid w:val="0063564A"/>
    <w:rsid w:val="00651353"/>
    <w:rsid w:val="00665BD1"/>
    <w:rsid w:val="00680A44"/>
    <w:rsid w:val="0068332D"/>
    <w:rsid w:val="0068673B"/>
    <w:rsid w:val="006A041A"/>
    <w:rsid w:val="006A4581"/>
    <w:rsid w:val="006B236E"/>
    <w:rsid w:val="006D6B03"/>
    <w:rsid w:val="006F13F3"/>
    <w:rsid w:val="007070D6"/>
    <w:rsid w:val="00727C19"/>
    <w:rsid w:val="00734F1E"/>
    <w:rsid w:val="00745133"/>
    <w:rsid w:val="00756AD4"/>
    <w:rsid w:val="0079384D"/>
    <w:rsid w:val="00814BAF"/>
    <w:rsid w:val="0082691C"/>
    <w:rsid w:val="0083757A"/>
    <w:rsid w:val="008859BB"/>
    <w:rsid w:val="008A79BD"/>
    <w:rsid w:val="008B7A09"/>
    <w:rsid w:val="008D6A28"/>
    <w:rsid w:val="008D767E"/>
    <w:rsid w:val="0093599C"/>
    <w:rsid w:val="00974145"/>
    <w:rsid w:val="00982C7F"/>
    <w:rsid w:val="00986F11"/>
    <w:rsid w:val="00991CEE"/>
    <w:rsid w:val="00995831"/>
    <w:rsid w:val="009F559A"/>
    <w:rsid w:val="00A054C1"/>
    <w:rsid w:val="00A070BB"/>
    <w:rsid w:val="00A20EF7"/>
    <w:rsid w:val="00A212D6"/>
    <w:rsid w:val="00A278F5"/>
    <w:rsid w:val="00A35D39"/>
    <w:rsid w:val="00A443BE"/>
    <w:rsid w:val="00A655AA"/>
    <w:rsid w:val="00A8547A"/>
    <w:rsid w:val="00A858E9"/>
    <w:rsid w:val="00A874EA"/>
    <w:rsid w:val="00A90B59"/>
    <w:rsid w:val="00A90E30"/>
    <w:rsid w:val="00A94FA0"/>
    <w:rsid w:val="00AB4417"/>
    <w:rsid w:val="00AD0D0B"/>
    <w:rsid w:val="00AD7370"/>
    <w:rsid w:val="00AE0C26"/>
    <w:rsid w:val="00AE5E5C"/>
    <w:rsid w:val="00B13BE1"/>
    <w:rsid w:val="00B35775"/>
    <w:rsid w:val="00B778C8"/>
    <w:rsid w:val="00B7792A"/>
    <w:rsid w:val="00B85936"/>
    <w:rsid w:val="00BC684F"/>
    <w:rsid w:val="00C03AA4"/>
    <w:rsid w:val="00C244CA"/>
    <w:rsid w:val="00C371B4"/>
    <w:rsid w:val="00C41E24"/>
    <w:rsid w:val="00C466EC"/>
    <w:rsid w:val="00C56A75"/>
    <w:rsid w:val="00C74E56"/>
    <w:rsid w:val="00C75436"/>
    <w:rsid w:val="00CA095C"/>
    <w:rsid w:val="00CB0700"/>
    <w:rsid w:val="00CC5EB1"/>
    <w:rsid w:val="00CC7653"/>
    <w:rsid w:val="00CD1395"/>
    <w:rsid w:val="00CE4834"/>
    <w:rsid w:val="00CF7A23"/>
    <w:rsid w:val="00D164C2"/>
    <w:rsid w:val="00D339AE"/>
    <w:rsid w:val="00D4297B"/>
    <w:rsid w:val="00D52B59"/>
    <w:rsid w:val="00D53A8C"/>
    <w:rsid w:val="00D63581"/>
    <w:rsid w:val="00D9572C"/>
    <w:rsid w:val="00DA11A3"/>
    <w:rsid w:val="00DB6DA3"/>
    <w:rsid w:val="00DC680F"/>
    <w:rsid w:val="00DD0C80"/>
    <w:rsid w:val="00DE1DB6"/>
    <w:rsid w:val="00DE2B7C"/>
    <w:rsid w:val="00DF1FB1"/>
    <w:rsid w:val="00DF264D"/>
    <w:rsid w:val="00E1374A"/>
    <w:rsid w:val="00E137D6"/>
    <w:rsid w:val="00E25D82"/>
    <w:rsid w:val="00E47E0E"/>
    <w:rsid w:val="00E953F9"/>
    <w:rsid w:val="00EB47B5"/>
    <w:rsid w:val="00EC488F"/>
    <w:rsid w:val="00EC749D"/>
    <w:rsid w:val="00F030E1"/>
    <w:rsid w:val="00F04A2B"/>
    <w:rsid w:val="00F15CB8"/>
    <w:rsid w:val="00F92752"/>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F2683-7E5E-496A-977E-77D50278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13F3"/>
    <w:pPr>
      <w:spacing w:after="0" w:line="240" w:lineRule="auto"/>
      <w:ind w:left="720"/>
      <w:contextualSpacing/>
    </w:pPr>
    <w:rPr>
      <w:rFonts w:ascii="Times New Roman" w:hAnsi="Times New Roman" w:cs="Times New Roman"/>
      <w:sz w:val="24"/>
      <w:szCs w:val="24"/>
    </w:rPr>
  </w:style>
  <w:style w:type="paragraph" w:customStyle="1" w:styleId="p13">
    <w:name w:val="p13"/>
    <w:basedOn w:val="Normal"/>
    <w:rsid w:val="006F13F3"/>
    <w:pPr>
      <w:widowControl w:val="0"/>
      <w:autoSpaceDE w:val="0"/>
      <w:autoSpaceDN w:val="0"/>
      <w:adjustRightInd w:val="0"/>
      <w:spacing w:after="0" w:line="240" w:lineRule="auto"/>
      <w:ind w:left="1061" w:hanging="379"/>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13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8975420/"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0022534705672394" TargetMode="External"/><Relationship Id="rId11" Type="http://schemas.openxmlformats.org/officeDocument/2006/relationships/fontTable" Target="fontTable.xml"/><Relationship Id="rId5" Type="http://schemas.openxmlformats.org/officeDocument/2006/relationships/hyperlink" Target="https://www.ncbi.nlm.nih.gov/pmc/articles/PMC6673647/" TargetMode="External"/><Relationship Id="rId10" Type="http://schemas.openxmlformats.org/officeDocument/2006/relationships/hyperlink" Target="https://www.bladderandbowel.org/wp-content/uploads/2017/05/BBC002_Bristol-Stool-Chart-Jan-2016.pdf" TargetMode="External"/><Relationship Id="rId4" Type="http://schemas.openxmlformats.org/officeDocument/2006/relationships/webSettings" Target="webSettings.xml"/><Relationship Id="rId9" Type="http://schemas.openxmlformats.org/officeDocument/2006/relationships/hyperlink" Target="https://www.mdcalc.com/rome-iv-diagnostic-criteria-irritable-bowel-syndrome-i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Kathryn</dc:creator>
  <cp:keywords/>
  <dc:description/>
  <cp:lastModifiedBy>Wynne, Kathryn</cp:lastModifiedBy>
  <cp:revision>1</cp:revision>
  <dcterms:created xsi:type="dcterms:W3CDTF">2020-11-17T02:43:00Z</dcterms:created>
  <dcterms:modified xsi:type="dcterms:W3CDTF">2020-11-17T02:43:00Z</dcterms:modified>
</cp:coreProperties>
</file>