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C1" w:rsidRPr="006F1CBE" w:rsidRDefault="009346C1" w:rsidP="009346C1">
      <w:pPr>
        <w:pStyle w:val="p13"/>
        <w:tabs>
          <w:tab w:val="left" w:pos="379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6F1CBE">
        <w:rPr>
          <w:b/>
          <w:bCs/>
          <w:sz w:val="22"/>
          <w:szCs w:val="22"/>
        </w:rPr>
        <w:t>Proteinuria: (Objective I</w:t>
      </w:r>
      <w:r>
        <w:rPr>
          <w:b/>
          <w:bCs/>
          <w:sz w:val="22"/>
          <w:szCs w:val="22"/>
        </w:rPr>
        <w:t>d</w:t>
      </w:r>
      <w:bookmarkStart w:id="0" w:name="_GoBack"/>
      <w:bookmarkEnd w:id="0"/>
      <w:r w:rsidRPr="006F1CBE">
        <w:rPr>
          <w:b/>
          <w:bCs/>
          <w:sz w:val="22"/>
          <w:szCs w:val="22"/>
        </w:rPr>
        <w:t>)</w:t>
      </w:r>
    </w:p>
    <w:p w:rsidR="009346C1" w:rsidRPr="006F1CBE" w:rsidRDefault="009346C1" w:rsidP="009346C1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t>Proteinuria in children ages 6 to 24 months is defined as a protein excretion of greater than 300 mg/m</w:t>
      </w:r>
      <w:r w:rsidRPr="006F1CBE">
        <w:rPr>
          <w:bCs/>
          <w:sz w:val="22"/>
          <w:szCs w:val="22"/>
          <w:vertAlign w:val="superscript"/>
        </w:rPr>
        <w:t>2</w:t>
      </w:r>
      <w:r w:rsidRPr="006F1CBE">
        <w:rPr>
          <w:bCs/>
          <w:sz w:val="22"/>
          <w:szCs w:val="22"/>
        </w:rPr>
        <w:t xml:space="preserve"> over a 24-hour period as measured by a 24-hour urine collection or a urine protein creatinine ratio of &gt;0.5 mg/mg (</w:t>
      </w:r>
      <w:proofErr w:type="spellStart"/>
      <w:r w:rsidRPr="006F1CBE">
        <w:rPr>
          <w:bCs/>
          <w:sz w:val="22"/>
          <w:szCs w:val="22"/>
        </w:rPr>
        <w:t>Viteri</w:t>
      </w:r>
      <w:proofErr w:type="spellEnd"/>
      <w:r w:rsidRPr="006F1CBE">
        <w:rPr>
          <w:bCs/>
          <w:sz w:val="22"/>
          <w:szCs w:val="22"/>
        </w:rPr>
        <w:t xml:space="preserve"> 2018).</w:t>
      </w:r>
    </w:p>
    <w:p w:rsidR="009346C1" w:rsidRPr="006F1CBE" w:rsidRDefault="009346C1" w:rsidP="009346C1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t>Proteinuria in children greater than 24 months is defined as a protein excretion of greater than 100 mg/m</w:t>
      </w:r>
      <w:r w:rsidRPr="006F1CBE">
        <w:rPr>
          <w:bCs/>
          <w:sz w:val="22"/>
          <w:szCs w:val="22"/>
          <w:vertAlign w:val="superscript"/>
        </w:rPr>
        <w:t xml:space="preserve">2 </w:t>
      </w:r>
      <w:r w:rsidRPr="006F1CBE">
        <w:rPr>
          <w:bCs/>
          <w:sz w:val="22"/>
          <w:szCs w:val="22"/>
        </w:rPr>
        <w:t>over a 24-hour period or a urine protein creatinine ratio of &gt;0.2 mg/mg (</w:t>
      </w:r>
      <w:proofErr w:type="spellStart"/>
      <w:r w:rsidRPr="006F1CBE">
        <w:rPr>
          <w:bCs/>
          <w:sz w:val="22"/>
          <w:szCs w:val="22"/>
        </w:rPr>
        <w:t>Viteri</w:t>
      </w:r>
      <w:proofErr w:type="spellEnd"/>
      <w:r w:rsidRPr="006F1CBE">
        <w:rPr>
          <w:bCs/>
          <w:sz w:val="22"/>
          <w:szCs w:val="22"/>
        </w:rPr>
        <w:t xml:space="preserve"> 2018).</w:t>
      </w:r>
    </w:p>
    <w:p w:rsidR="009346C1" w:rsidRPr="006F1CBE" w:rsidRDefault="009346C1" w:rsidP="009346C1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t xml:space="preserve">The following flow chart adapted from the </w:t>
      </w:r>
      <w:hyperlink r:id="rId5" w:history="1">
        <w:r w:rsidRPr="006F1CBE">
          <w:rPr>
            <w:rStyle w:val="Hyperlink"/>
            <w:b/>
            <w:bCs/>
            <w:sz w:val="22"/>
            <w:szCs w:val="22"/>
          </w:rPr>
          <w:t>AAP 2018 guidelines</w:t>
        </w:r>
      </w:hyperlink>
      <w:r w:rsidRPr="006F1CBE">
        <w:rPr>
          <w:b/>
          <w:bCs/>
          <w:color w:val="4472C4" w:themeColor="accent1"/>
          <w:sz w:val="22"/>
          <w:szCs w:val="22"/>
        </w:rPr>
        <w:t xml:space="preserve"> </w:t>
      </w:r>
      <w:r w:rsidRPr="006F1CBE">
        <w:rPr>
          <w:bCs/>
          <w:sz w:val="22"/>
          <w:szCs w:val="22"/>
        </w:rPr>
        <w:t>provides an algorithm on the evaluation of proteinuria in a primary care setting.</w:t>
      </w:r>
    </w:p>
    <w:p w:rsidR="009346C1" w:rsidRPr="006F1CBE" w:rsidRDefault="009346C1" w:rsidP="009346C1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t xml:space="preserve">The </w:t>
      </w:r>
      <w:hyperlink r:id="rId6" w:anchor="afp20100915p645-b37" w:history="1">
        <w:r w:rsidRPr="006F1CBE">
          <w:rPr>
            <w:rStyle w:val="Hyperlink"/>
            <w:b/>
            <w:bCs/>
            <w:sz w:val="22"/>
            <w:szCs w:val="22"/>
          </w:rPr>
          <w:t>management of proteinuria</w:t>
        </w:r>
      </w:hyperlink>
      <w:r w:rsidRPr="006F1CBE">
        <w:rPr>
          <w:bCs/>
          <w:color w:val="4472C4" w:themeColor="accent1"/>
          <w:sz w:val="22"/>
          <w:szCs w:val="22"/>
        </w:rPr>
        <w:t xml:space="preserve"> </w:t>
      </w:r>
      <w:r w:rsidRPr="006F1CBE">
        <w:rPr>
          <w:bCs/>
          <w:sz w:val="22"/>
          <w:szCs w:val="22"/>
        </w:rPr>
        <w:t xml:space="preserve">should target the underlying cause, however in practice it is commonly treated with an angiotensin-converting enzyme inhibitor or angiotensin II receptor blocker or angiotensin receptor blocker (Leung 2010). </w:t>
      </w:r>
    </w:p>
    <w:p w:rsidR="009346C1" w:rsidRPr="006F1CBE" w:rsidRDefault="009346C1" w:rsidP="009346C1">
      <w:pPr>
        <w:pStyle w:val="p13"/>
        <w:tabs>
          <w:tab w:val="left" w:pos="379"/>
        </w:tabs>
        <w:spacing w:line="276" w:lineRule="auto"/>
        <w:ind w:left="1080" w:firstLine="0"/>
        <w:rPr>
          <w:bCs/>
          <w:sz w:val="22"/>
          <w:szCs w:val="22"/>
        </w:rPr>
      </w:pPr>
    </w:p>
    <w:p w:rsidR="009346C1" w:rsidRPr="006F1CBE" w:rsidRDefault="009346C1" w:rsidP="009346C1">
      <w:pPr>
        <w:pStyle w:val="p13"/>
        <w:tabs>
          <w:tab w:val="left" w:pos="379"/>
        </w:tabs>
        <w:spacing w:line="276" w:lineRule="auto"/>
        <w:rPr>
          <w:bCs/>
          <w:sz w:val="22"/>
          <w:szCs w:val="22"/>
        </w:rPr>
      </w:pPr>
    </w:p>
    <w:p w:rsidR="009346C1" w:rsidRPr="006F1CBE" w:rsidRDefault="009346C1" w:rsidP="009346C1">
      <w:pPr>
        <w:pStyle w:val="p13"/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noProof/>
          <w:color w:val="000000" w:themeColor="text1"/>
          <w:sz w:val="22"/>
          <w:szCs w:val="22"/>
        </w:rPr>
        <w:drawing>
          <wp:inline distT="0" distB="0" distL="0" distR="0" wp14:anchorId="3D38F8AF" wp14:editId="4DA91B9A">
            <wp:extent cx="4637527" cy="4198442"/>
            <wp:effectExtent l="0" t="0" r="10795" b="0"/>
            <wp:docPr id="4" name="Picture 4" descr="https://pedsinreview.aappublications.org/content/pedsinreview/39/12/573/F2.large.jpg?width=800&amp;height=600&amp;carouse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sinreview.aappublications.org/content/pedsinreview/39/12/573/F2.large.jpg?width=800&amp;height=600&amp;carousel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495" cy="422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C1" w:rsidRPr="006F1CBE" w:rsidRDefault="009346C1" w:rsidP="009346C1">
      <w:pPr>
        <w:pStyle w:val="p13"/>
        <w:tabs>
          <w:tab w:val="left" w:pos="379"/>
        </w:tabs>
        <w:spacing w:line="276" w:lineRule="auto"/>
        <w:jc w:val="right"/>
        <w:rPr>
          <w:bCs/>
          <w:color w:val="000000" w:themeColor="text1"/>
          <w:sz w:val="22"/>
          <w:szCs w:val="22"/>
        </w:rPr>
      </w:pPr>
      <w:proofErr w:type="spellStart"/>
      <w:r>
        <w:rPr>
          <w:bCs/>
          <w:color w:val="000000" w:themeColor="text1"/>
          <w:sz w:val="22"/>
          <w:szCs w:val="22"/>
        </w:rPr>
        <w:t>Viteri</w:t>
      </w:r>
      <w:proofErr w:type="spellEnd"/>
      <w:r>
        <w:rPr>
          <w:bCs/>
          <w:color w:val="000000" w:themeColor="text1"/>
          <w:sz w:val="22"/>
          <w:szCs w:val="22"/>
        </w:rPr>
        <w:t xml:space="preserve"> and Reid-Adam, 2018</w:t>
      </w:r>
    </w:p>
    <w:p w:rsidR="00AD0D0B" w:rsidRDefault="00AD0D0B"/>
    <w:sectPr w:rsidR="00AD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13D"/>
    <w:multiLevelType w:val="hybridMultilevel"/>
    <w:tmpl w:val="2594F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C1"/>
    <w:rsid w:val="00033D06"/>
    <w:rsid w:val="000356E5"/>
    <w:rsid w:val="0005262B"/>
    <w:rsid w:val="000577B6"/>
    <w:rsid w:val="0006029A"/>
    <w:rsid w:val="00093921"/>
    <w:rsid w:val="00093A7E"/>
    <w:rsid w:val="000B3DD7"/>
    <w:rsid w:val="000C0A46"/>
    <w:rsid w:val="000E1304"/>
    <w:rsid w:val="000E1A79"/>
    <w:rsid w:val="00101AB2"/>
    <w:rsid w:val="00132E99"/>
    <w:rsid w:val="001356F4"/>
    <w:rsid w:val="001738C7"/>
    <w:rsid w:val="00173FAB"/>
    <w:rsid w:val="00175A40"/>
    <w:rsid w:val="001812BE"/>
    <w:rsid w:val="0019626F"/>
    <w:rsid w:val="001A0E4F"/>
    <w:rsid w:val="001B7859"/>
    <w:rsid w:val="001C782E"/>
    <w:rsid w:val="001F7237"/>
    <w:rsid w:val="00206B07"/>
    <w:rsid w:val="002129B0"/>
    <w:rsid w:val="00231CE4"/>
    <w:rsid w:val="00247080"/>
    <w:rsid w:val="00253B7F"/>
    <w:rsid w:val="002549A9"/>
    <w:rsid w:val="00264B25"/>
    <w:rsid w:val="00270DB3"/>
    <w:rsid w:val="00277C78"/>
    <w:rsid w:val="002A621B"/>
    <w:rsid w:val="002B7003"/>
    <w:rsid w:val="002C0674"/>
    <w:rsid w:val="002C7AAF"/>
    <w:rsid w:val="002F1A6F"/>
    <w:rsid w:val="002F2E12"/>
    <w:rsid w:val="0031139D"/>
    <w:rsid w:val="00313B49"/>
    <w:rsid w:val="003150AE"/>
    <w:rsid w:val="00317552"/>
    <w:rsid w:val="00350115"/>
    <w:rsid w:val="003978EE"/>
    <w:rsid w:val="003A01B4"/>
    <w:rsid w:val="003A032B"/>
    <w:rsid w:val="003A7B2F"/>
    <w:rsid w:val="003C7F78"/>
    <w:rsid w:val="003F0121"/>
    <w:rsid w:val="003F5379"/>
    <w:rsid w:val="00403AC6"/>
    <w:rsid w:val="0041022F"/>
    <w:rsid w:val="00420FC2"/>
    <w:rsid w:val="00452C81"/>
    <w:rsid w:val="00464FBF"/>
    <w:rsid w:val="004756EA"/>
    <w:rsid w:val="00485BB9"/>
    <w:rsid w:val="00494825"/>
    <w:rsid w:val="004A3A4E"/>
    <w:rsid w:val="004B7D3A"/>
    <w:rsid w:val="004E3BFF"/>
    <w:rsid w:val="004F53F6"/>
    <w:rsid w:val="00531474"/>
    <w:rsid w:val="00535E1D"/>
    <w:rsid w:val="005759FA"/>
    <w:rsid w:val="005819C1"/>
    <w:rsid w:val="005C2241"/>
    <w:rsid w:val="005C7E8A"/>
    <w:rsid w:val="005D7920"/>
    <w:rsid w:val="005E0CE8"/>
    <w:rsid w:val="00632BAB"/>
    <w:rsid w:val="0063564A"/>
    <w:rsid w:val="00651353"/>
    <w:rsid w:val="00665BD1"/>
    <w:rsid w:val="00680A44"/>
    <w:rsid w:val="0068332D"/>
    <w:rsid w:val="0068673B"/>
    <w:rsid w:val="006A041A"/>
    <w:rsid w:val="006A4581"/>
    <w:rsid w:val="006B236E"/>
    <w:rsid w:val="006D6B03"/>
    <w:rsid w:val="007070D6"/>
    <w:rsid w:val="00727C19"/>
    <w:rsid w:val="00734F1E"/>
    <w:rsid w:val="00745133"/>
    <w:rsid w:val="00756AD4"/>
    <w:rsid w:val="0079384D"/>
    <w:rsid w:val="00814BAF"/>
    <w:rsid w:val="0082691C"/>
    <w:rsid w:val="0083757A"/>
    <w:rsid w:val="008859BB"/>
    <w:rsid w:val="008A79BD"/>
    <w:rsid w:val="008B7A09"/>
    <w:rsid w:val="008D6A28"/>
    <w:rsid w:val="008D767E"/>
    <w:rsid w:val="009346C1"/>
    <w:rsid w:val="0093599C"/>
    <w:rsid w:val="00974145"/>
    <w:rsid w:val="00982C7F"/>
    <w:rsid w:val="00986F11"/>
    <w:rsid w:val="00991CEE"/>
    <w:rsid w:val="00995831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8547A"/>
    <w:rsid w:val="00A858E9"/>
    <w:rsid w:val="00A874EA"/>
    <w:rsid w:val="00A90B59"/>
    <w:rsid w:val="00A90E30"/>
    <w:rsid w:val="00A94FA0"/>
    <w:rsid w:val="00AB4417"/>
    <w:rsid w:val="00AD0D0B"/>
    <w:rsid w:val="00AD7370"/>
    <w:rsid w:val="00AE0C26"/>
    <w:rsid w:val="00AE5E5C"/>
    <w:rsid w:val="00B13BE1"/>
    <w:rsid w:val="00B35775"/>
    <w:rsid w:val="00B778C8"/>
    <w:rsid w:val="00B7792A"/>
    <w:rsid w:val="00B85936"/>
    <w:rsid w:val="00BC684F"/>
    <w:rsid w:val="00C03AA4"/>
    <w:rsid w:val="00C244CA"/>
    <w:rsid w:val="00C371B4"/>
    <w:rsid w:val="00C41E24"/>
    <w:rsid w:val="00C466EC"/>
    <w:rsid w:val="00C56A75"/>
    <w:rsid w:val="00C74E56"/>
    <w:rsid w:val="00C75436"/>
    <w:rsid w:val="00CA095C"/>
    <w:rsid w:val="00CB0700"/>
    <w:rsid w:val="00CC5EB1"/>
    <w:rsid w:val="00CC7653"/>
    <w:rsid w:val="00CD1395"/>
    <w:rsid w:val="00CE4834"/>
    <w:rsid w:val="00CF7A23"/>
    <w:rsid w:val="00D164C2"/>
    <w:rsid w:val="00D339AE"/>
    <w:rsid w:val="00D4297B"/>
    <w:rsid w:val="00D52B59"/>
    <w:rsid w:val="00D53A8C"/>
    <w:rsid w:val="00D63581"/>
    <w:rsid w:val="00D9572C"/>
    <w:rsid w:val="00DA11A3"/>
    <w:rsid w:val="00DB6DA3"/>
    <w:rsid w:val="00DC680F"/>
    <w:rsid w:val="00DD0C80"/>
    <w:rsid w:val="00DE1DB6"/>
    <w:rsid w:val="00DE2B7C"/>
    <w:rsid w:val="00DF1FB1"/>
    <w:rsid w:val="00DF264D"/>
    <w:rsid w:val="00E1374A"/>
    <w:rsid w:val="00E137D6"/>
    <w:rsid w:val="00E25D82"/>
    <w:rsid w:val="00E47E0E"/>
    <w:rsid w:val="00E953F9"/>
    <w:rsid w:val="00EC488F"/>
    <w:rsid w:val="00EC749D"/>
    <w:rsid w:val="00F030E1"/>
    <w:rsid w:val="00F04A2B"/>
    <w:rsid w:val="00F15CB8"/>
    <w:rsid w:val="00F92752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CA0A"/>
  <w15:chartTrackingRefBased/>
  <w15:docId w15:val="{BEEBB7FB-0275-4C91-8482-F47309B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9346C1"/>
    <w:pPr>
      <w:widowControl w:val="0"/>
      <w:autoSpaceDE w:val="0"/>
      <w:autoSpaceDN w:val="0"/>
      <w:adjustRightInd w:val="0"/>
      <w:spacing w:after="0" w:line="240" w:lineRule="auto"/>
      <w:ind w:left="1061" w:hanging="379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4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fp.org/afp/2010/0915/p645.html" TargetMode="External"/><Relationship Id="rId5" Type="http://schemas.openxmlformats.org/officeDocument/2006/relationships/hyperlink" Target="https://pedsinreview.aappublications.org/content/39/12/5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Kathryn</dc:creator>
  <cp:keywords/>
  <dc:description/>
  <cp:lastModifiedBy>Wynne, Kathryn</cp:lastModifiedBy>
  <cp:revision>1</cp:revision>
  <dcterms:created xsi:type="dcterms:W3CDTF">2020-11-17T02:33:00Z</dcterms:created>
  <dcterms:modified xsi:type="dcterms:W3CDTF">2020-11-17T02:34:00Z</dcterms:modified>
</cp:coreProperties>
</file>