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64670" w14:textId="739C13AC" w:rsidR="00706F3B" w:rsidRDefault="00706F3B" w:rsidP="00706F3B">
      <w:pPr>
        <w:pStyle w:val="NormalWeb"/>
        <w:spacing w:before="240" w:beforeAutospacing="0" w:after="240" w:afterAutospacing="0"/>
      </w:pPr>
      <w:r>
        <w:rPr>
          <w:rFonts w:ascii="Arial" w:hAnsi="Arial" w:cs="Arial"/>
          <w:b/>
          <w:bCs/>
          <w:color w:val="000000"/>
          <w:sz w:val="22"/>
          <w:szCs w:val="22"/>
          <w:u w:val="single"/>
        </w:rPr>
        <w:t>M</w:t>
      </w:r>
      <w:r w:rsidR="00B01E3B">
        <w:rPr>
          <w:rFonts w:ascii="Arial" w:hAnsi="Arial" w:cs="Arial"/>
          <w:b/>
          <w:bCs/>
          <w:color w:val="000000"/>
          <w:sz w:val="22"/>
          <w:szCs w:val="22"/>
          <w:u w:val="single"/>
        </w:rPr>
        <w:t>A LTBI ECHO Session Summary, 10/14</w:t>
      </w:r>
      <w:r>
        <w:rPr>
          <w:rFonts w:ascii="Arial" w:hAnsi="Arial" w:cs="Arial"/>
          <w:b/>
          <w:bCs/>
          <w:color w:val="000000"/>
          <w:sz w:val="22"/>
          <w:szCs w:val="22"/>
          <w:u w:val="single"/>
        </w:rPr>
        <w:t>/21</w:t>
      </w:r>
    </w:p>
    <w:p w14:paraId="3028FC39" w14:textId="31B8D59C" w:rsidR="00B67926" w:rsidRDefault="00B67926" w:rsidP="00B67926">
      <w:pPr>
        <w:pStyle w:val="m3269397187459018648msolistparagraph"/>
      </w:pPr>
      <w:r>
        <w:rPr>
          <w:rFonts w:ascii="Calibri" w:hAnsi="Calibri" w:cs="Calibri"/>
          <w:b/>
          <w:bCs/>
          <w:sz w:val="22"/>
          <w:szCs w:val="22"/>
        </w:rPr>
        <w:t>1.</w:t>
      </w:r>
      <w:r>
        <w:rPr>
          <w:b/>
          <w:bCs/>
          <w:sz w:val="14"/>
          <w:szCs w:val="14"/>
        </w:rPr>
        <w:t xml:space="preserve">      </w:t>
      </w:r>
      <w:r>
        <w:rPr>
          <w:rFonts w:ascii="Calibri" w:hAnsi="Calibri" w:cs="Calibri"/>
          <w:b/>
          <w:bCs/>
          <w:sz w:val="22"/>
          <w:szCs w:val="22"/>
        </w:rPr>
        <w:t>While 3 months of rifampin may provide some protection, we have evidence for the efficacy of four total months of treatment.</w:t>
      </w:r>
      <w:r>
        <w:rPr>
          <w:rFonts w:ascii="Calibri" w:hAnsi="Calibri" w:cs="Calibri"/>
          <w:sz w:val="22"/>
          <w:szCs w:val="22"/>
        </w:rPr>
        <w:t xml:space="preserve"> If the patient stops treatment at 3 months, we cannot consider her fully treated, and would recommend restarting treatment at a later date.</w:t>
      </w:r>
    </w:p>
    <w:p w14:paraId="2F60E755" w14:textId="77777777" w:rsidR="00B67926" w:rsidRDefault="00B67926" w:rsidP="00B67926">
      <w:pPr>
        <w:pStyle w:val="m3269397187459018648msolistparagraph"/>
      </w:pPr>
      <w:r>
        <w:rPr>
          <w:rFonts w:ascii="Calibri" w:hAnsi="Calibri" w:cs="Calibri"/>
          <w:b/>
          <w:bCs/>
          <w:sz w:val="22"/>
          <w:szCs w:val="22"/>
        </w:rPr>
        <w:t>2.</w:t>
      </w:r>
      <w:r>
        <w:rPr>
          <w:b/>
          <w:bCs/>
          <w:sz w:val="14"/>
          <w:szCs w:val="14"/>
        </w:rPr>
        <w:t xml:space="preserve">      </w:t>
      </w:r>
      <w:r>
        <w:rPr>
          <w:rFonts w:ascii="Calibri" w:hAnsi="Calibri" w:cs="Calibri"/>
          <w:b/>
          <w:bCs/>
          <w:sz w:val="22"/>
          <w:szCs w:val="22"/>
        </w:rPr>
        <w:t xml:space="preserve">Rifampin can be used in pregnancy if indicated. </w:t>
      </w:r>
      <w:r>
        <w:rPr>
          <w:rFonts w:ascii="Calibri" w:hAnsi="Calibri" w:cs="Calibri"/>
          <w:sz w:val="22"/>
          <w:szCs w:val="22"/>
        </w:rPr>
        <w:t>Rifampin is well studied as part of treatment for active TB in pregnancy. The main concerns around rifampin use in pregnancy have to do with use close to term, when it may be associated with increased risk of postpartum hemorrhage. There is not known teratogenicity.</w:t>
      </w:r>
    </w:p>
    <w:p w14:paraId="33976C70" w14:textId="333E0407" w:rsidR="00B67926" w:rsidRDefault="00B67926" w:rsidP="00B67926">
      <w:pPr>
        <w:pStyle w:val="m3269397187459018648msolistparagraph"/>
      </w:pPr>
      <w:r>
        <w:rPr>
          <w:rFonts w:ascii="Calibri" w:hAnsi="Calibri" w:cs="Calibri"/>
          <w:b/>
          <w:bCs/>
          <w:sz w:val="22"/>
          <w:szCs w:val="22"/>
        </w:rPr>
        <w:t>3.</w:t>
      </w:r>
      <w:r>
        <w:rPr>
          <w:b/>
          <w:bCs/>
          <w:sz w:val="14"/>
          <w:szCs w:val="14"/>
        </w:rPr>
        <w:t xml:space="preserve">      </w:t>
      </w:r>
      <w:r>
        <w:rPr>
          <w:rFonts w:ascii="Calibri" w:hAnsi="Calibri" w:cs="Calibri"/>
          <w:b/>
          <w:bCs/>
          <w:sz w:val="22"/>
          <w:szCs w:val="22"/>
        </w:rPr>
        <w:t>Weigh your patient’s individual risk/urgency of</w:t>
      </w:r>
      <w:r w:rsidR="002A0D59">
        <w:rPr>
          <w:rFonts w:ascii="Calibri" w:hAnsi="Calibri" w:cs="Calibri"/>
          <w:b/>
          <w:bCs/>
          <w:sz w:val="22"/>
          <w:szCs w:val="22"/>
        </w:rPr>
        <w:t xml:space="preserve"> LTBI</w:t>
      </w:r>
      <w:r>
        <w:rPr>
          <w:rFonts w:ascii="Calibri" w:hAnsi="Calibri" w:cs="Calibri"/>
          <w:b/>
          <w:bCs/>
          <w:sz w:val="22"/>
          <w:szCs w:val="22"/>
        </w:rPr>
        <w:t xml:space="preserve"> treatment</w:t>
      </w:r>
      <w:r w:rsidR="002A0D59">
        <w:rPr>
          <w:rFonts w:ascii="Calibri" w:hAnsi="Calibri" w:cs="Calibri"/>
          <w:b/>
          <w:bCs/>
          <w:sz w:val="22"/>
          <w:szCs w:val="22"/>
        </w:rPr>
        <w:t xml:space="preserve"> during pregnancy</w:t>
      </w:r>
      <w:r>
        <w:rPr>
          <w:rFonts w:ascii="Calibri" w:hAnsi="Calibri" w:cs="Calibri"/>
          <w:b/>
          <w:bCs/>
          <w:sz w:val="22"/>
          <w:szCs w:val="22"/>
        </w:rPr>
        <w:t xml:space="preserve">. </w:t>
      </w:r>
      <w:r>
        <w:rPr>
          <w:rFonts w:ascii="Calibri" w:hAnsi="Calibri" w:cs="Calibri"/>
          <w:sz w:val="22"/>
          <w:szCs w:val="22"/>
        </w:rPr>
        <w:t xml:space="preserve">In a high-risk patient (i.e. HIV+, immunosuppression, recent conversion, contact to known active case), the benefit of </w:t>
      </w:r>
      <w:r w:rsidR="002A0D59">
        <w:rPr>
          <w:rFonts w:ascii="Calibri" w:hAnsi="Calibri" w:cs="Calibri"/>
          <w:sz w:val="22"/>
          <w:szCs w:val="22"/>
        </w:rPr>
        <w:t>treating LTBI during pregnancy</w:t>
      </w:r>
      <w:r>
        <w:rPr>
          <w:rFonts w:ascii="Calibri" w:hAnsi="Calibri" w:cs="Calibri"/>
          <w:sz w:val="22"/>
          <w:szCs w:val="22"/>
        </w:rPr>
        <w:t xml:space="preserve"> would likely outweigh any risk. </w:t>
      </w:r>
      <w:r w:rsidR="002A0D59">
        <w:rPr>
          <w:rFonts w:ascii="Calibri" w:hAnsi="Calibri" w:cs="Calibri"/>
          <w:sz w:val="22"/>
          <w:szCs w:val="22"/>
        </w:rPr>
        <w:t>When considering treating a pregnant individual for LTBI during pregnancy, consult your local TB clinic, ID specialist, or DPH team for guidance.</w:t>
      </w:r>
    </w:p>
    <w:p w14:paraId="5327E63E" w14:textId="77777777" w:rsidR="00B67926" w:rsidRDefault="00B67926" w:rsidP="00B67926">
      <w:pPr>
        <w:pStyle w:val="m3269397187459018648msolistparagraph"/>
      </w:pPr>
      <w:r w:rsidRPr="006074E9">
        <w:rPr>
          <w:rFonts w:ascii="Calibri" w:hAnsi="Calibri" w:cs="Calibri"/>
          <w:b/>
          <w:sz w:val="22"/>
          <w:szCs w:val="22"/>
        </w:rPr>
        <w:t>4.</w:t>
      </w:r>
      <w:r w:rsidRPr="006074E9">
        <w:rPr>
          <w:b/>
          <w:sz w:val="14"/>
          <w:szCs w:val="14"/>
        </w:rPr>
        <w:t xml:space="preserve">      </w:t>
      </w:r>
      <w:r w:rsidRPr="006074E9">
        <w:rPr>
          <w:rFonts w:ascii="Calibri" w:hAnsi="Calibri" w:cs="Calibri"/>
          <w:b/>
          <w:bCs/>
          <w:sz w:val="22"/>
          <w:szCs w:val="22"/>
        </w:rPr>
        <w:t>Discuss</w:t>
      </w:r>
      <w:r>
        <w:rPr>
          <w:rFonts w:ascii="Calibri" w:hAnsi="Calibri" w:cs="Calibri"/>
          <w:b/>
          <w:bCs/>
          <w:sz w:val="22"/>
          <w:szCs w:val="22"/>
        </w:rPr>
        <w:t xml:space="preserve"> patient preference regarding continuing vs. stopping treatment. </w:t>
      </w:r>
      <w:r>
        <w:rPr>
          <w:rFonts w:ascii="Calibri" w:hAnsi="Calibri" w:cs="Calibri"/>
          <w:sz w:val="22"/>
          <w:szCs w:val="22"/>
        </w:rPr>
        <w:t xml:space="preserve">The patient’s PCP reviewed risk/benefit of continuing treatment vs. stopping/deferring, and patient preferred not to take any additional rifampin in pregnancy, so treatment was discontinued. </w:t>
      </w:r>
    </w:p>
    <w:p w14:paraId="2D1ABBFD" w14:textId="1775DAFB" w:rsidR="00F8524D" w:rsidRDefault="00F8524D" w:rsidP="00F8524D">
      <w:pPr>
        <w:pStyle w:val="m3269397187459018648msolistparagraph"/>
      </w:pPr>
      <w:r>
        <w:rPr>
          <w:rFonts w:ascii="Calibri" w:hAnsi="Calibri" w:cs="Calibri"/>
          <w:b/>
          <w:sz w:val="22"/>
          <w:szCs w:val="22"/>
        </w:rPr>
        <w:t>5</w:t>
      </w:r>
      <w:r w:rsidRPr="006074E9">
        <w:rPr>
          <w:rFonts w:ascii="Calibri" w:hAnsi="Calibri" w:cs="Calibri"/>
          <w:b/>
          <w:sz w:val="22"/>
          <w:szCs w:val="22"/>
        </w:rPr>
        <w:t>.</w:t>
      </w:r>
      <w:r w:rsidRPr="006074E9">
        <w:rPr>
          <w:b/>
          <w:sz w:val="14"/>
          <w:szCs w:val="14"/>
        </w:rPr>
        <w:t xml:space="preserve">      </w:t>
      </w:r>
      <w:r>
        <w:rPr>
          <w:rFonts w:ascii="Calibri" w:hAnsi="Calibri" w:cs="Calibri"/>
          <w:b/>
          <w:bCs/>
          <w:sz w:val="22"/>
          <w:szCs w:val="22"/>
        </w:rPr>
        <w:t xml:space="preserve">When discussing treatment options with patients, check in to make sure you are on the same page. </w:t>
      </w:r>
      <w:r>
        <w:rPr>
          <w:rFonts w:ascii="Calibri" w:hAnsi="Calibri" w:cs="Calibri"/>
          <w:sz w:val="22"/>
          <w:szCs w:val="22"/>
        </w:rPr>
        <w:t xml:space="preserve">Pat Iyer taught us a great phrase: “What are your main take-aways from what we have talked about today?” This helps us to support patients in their decision-making, and to provide any remaining clarification they may need. </w:t>
      </w:r>
    </w:p>
    <w:p w14:paraId="7DE35376" w14:textId="2679E389" w:rsidR="007D0119" w:rsidRDefault="007D0119"/>
    <w:sectPr w:rsidR="007D0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A032F"/>
    <w:multiLevelType w:val="multilevel"/>
    <w:tmpl w:val="8758C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num>
  <w:num w:numId="3">
    <w:abstractNumId w:val="0"/>
    <w:lvlOverride w:ilvl="0"/>
  </w:num>
  <w:num w:numId="4">
    <w:abstractNumId w:val="0"/>
    <w:lvlOverride w:ilvl="0"/>
  </w:num>
  <w:num w:numId="5">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3B"/>
    <w:rsid w:val="001B05BC"/>
    <w:rsid w:val="002A0D59"/>
    <w:rsid w:val="006074E9"/>
    <w:rsid w:val="00706F3B"/>
    <w:rsid w:val="007D0119"/>
    <w:rsid w:val="00AD5FEB"/>
    <w:rsid w:val="00B0015D"/>
    <w:rsid w:val="00B01E3B"/>
    <w:rsid w:val="00B67926"/>
    <w:rsid w:val="00F8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3B11"/>
  <w15:chartTrackingRefBased/>
  <w15:docId w15:val="{2900E23D-64DE-4E70-952E-2DF09E2D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F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269397187459018648msolistparagraph">
    <w:name w:val="m_3269397187459018648msolistparagraph"/>
    <w:basedOn w:val="Normal"/>
    <w:rsid w:val="00B6792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3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0C4740093EF1498A5C438829F68559" ma:contentTypeVersion="12" ma:contentTypeDescription="Create a new document." ma:contentTypeScope="" ma:versionID="4b8db38028d1b7e07b05b6bde265f78b">
  <xsd:schema xmlns:xsd="http://www.w3.org/2001/XMLSchema" xmlns:xs="http://www.w3.org/2001/XMLSchema" xmlns:p="http://schemas.microsoft.com/office/2006/metadata/properties" xmlns:ns3="94064097-2571-4b59-be25-dd8671d3c47e" xmlns:ns4="edb4dc00-4a33-4227-8e4e-5d32ed6db093" targetNamespace="http://schemas.microsoft.com/office/2006/metadata/properties" ma:root="true" ma:fieldsID="b097caf49f8bddaec1994dfc398c4b5e" ns3:_="" ns4:_="">
    <xsd:import namespace="94064097-2571-4b59-be25-dd8671d3c47e"/>
    <xsd:import namespace="edb4dc00-4a33-4227-8e4e-5d32ed6db0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64097-2571-4b59-be25-dd8671d3c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b4dc00-4a33-4227-8e4e-5d32ed6db0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842D7-E804-4783-832E-8B6B0E91BA53}">
  <ds:schemaRefs>
    <ds:schemaRef ds:uri="http://schemas.microsoft.com/sharepoint/v3/contenttype/forms"/>
  </ds:schemaRefs>
</ds:datastoreItem>
</file>

<file path=customXml/itemProps2.xml><?xml version="1.0" encoding="utf-8"?>
<ds:datastoreItem xmlns:ds="http://schemas.openxmlformats.org/officeDocument/2006/customXml" ds:itemID="{A7311954-BB9B-46E9-9655-F4E3B9E131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06E3F7-F1FF-4951-AD6D-5C2D3658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64097-2571-4b59-be25-dd8671d3c47e"/>
    <ds:schemaRef ds:uri="edb4dc00-4a33-4227-8e4e-5d32ed6db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Thal</dc:creator>
  <cp:keywords/>
  <dc:description/>
  <cp:lastModifiedBy>Foley, G Susan</cp:lastModifiedBy>
  <cp:revision>2</cp:revision>
  <dcterms:created xsi:type="dcterms:W3CDTF">2021-10-19T13:54:00Z</dcterms:created>
  <dcterms:modified xsi:type="dcterms:W3CDTF">2021-10-19T13:54:00Z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0x0101005C0C4740093EF1498A5C438829F68559</vt:lpwstr>
  </property>
</Properties>
</file>