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C67" w14:textId="21E684C0" w:rsidR="00E023EE" w:rsidRPr="00E023EE" w:rsidRDefault="00706F3B" w:rsidP="00E023EE">
      <w:pPr>
        <w:pStyle w:val="NormalWeb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E023EE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MA LTBI ECHO Session Summary, </w:t>
      </w:r>
      <w:r w:rsidR="004442B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4/21</w:t>
      </w:r>
      <w:r w:rsidR="00E023EE" w:rsidRPr="00E023EE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/22</w:t>
      </w:r>
    </w:p>
    <w:p w14:paraId="60F2C28A" w14:textId="77777777" w:rsidR="00A17929" w:rsidRDefault="00A17929" w:rsidP="00A17929">
      <w:pPr>
        <w:pStyle w:val="m-8816904608416624122m-4872706194543974074msolistparagraph"/>
      </w:pPr>
      <w:r w:rsidRPr="00B549AA">
        <w:rPr>
          <w:rFonts w:ascii="Calibri" w:hAnsi="Calibri" w:cs="Calibri"/>
          <w:b/>
          <w:sz w:val="22"/>
          <w:szCs w:val="22"/>
        </w:rPr>
        <w:t>1.</w:t>
      </w:r>
      <w:r w:rsidRPr="00B549AA">
        <w:rPr>
          <w:b/>
          <w:sz w:val="14"/>
          <w:szCs w:val="14"/>
        </w:rPr>
        <w:t xml:space="preserve">      </w:t>
      </w:r>
      <w:r w:rsidRPr="00B549AA">
        <w:rPr>
          <w:rFonts w:ascii="Calibri" w:hAnsi="Calibri" w:cs="Calibri"/>
          <w:b/>
          <w:sz w:val="22"/>
          <w:szCs w:val="22"/>
        </w:rPr>
        <w:t>Avoid repeat testing for TB infection in the absence of known exposures/risk factors.</w:t>
      </w:r>
      <w:r>
        <w:rPr>
          <w:rFonts w:ascii="Calibri" w:hAnsi="Calibri" w:cs="Calibri"/>
          <w:sz w:val="22"/>
          <w:szCs w:val="22"/>
        </w:rPr>
        <w:t xml:space="preserve"> Also avoid TB infection testing in persons with a history of LTBI, as it is likely to remain positive. Future screening for persons with prior LTBI should be performed with a CXR.</w:t>
      </w:r>
    </w:p>
    <w:p w14:paraId="5C1E0D49" w14:textId="77777777" w:rsidR="00A17929" w:rsidRDefault="00A17929" w:rsidP="00A17929">
      <w:pPr>
        <w:pStyle w:val="m-8816904608416624122m-4872706194543974074msolistparagraph"/>
      </w:pPr>
      <w:r w:rsidRPr="00B549AA">
        <w:rPr>
          <w:rFonts w:ascii="Calibri" w:hAnsi="Calibri" w:cs="Calibri"/>
          <w:b/>
          <w:sz w:val="22"/>
          <w:szCs w:val="22"/>
        </w:rPr>
        <w:t>2.</w:t>
      </w:r>
      <w:r w:rsidRPr="00B549AA">
        <w:rPr>
          <w:b/>
          <w:sz w:val="14"/>
          <w:szCs w:val="14"/>
        </w:rPr>
        <w:t xml:space="preserve">      </w:t>
      </w:r>
      <w:r w:rsidRPr="00B549AA">
        <w:rPr>
          <w:rFonts w:ascii="Calibri" w:hAnsi="Calibri" w:cs="Calibri"/>
          <w:b/>
          <w:sz w:val="22"/>
          <w:szCs w:val="22"/>
        </w:rPr>
        <w:t>A decision to test is a decision to think!</w:t>
      </w:r>
      <w:r>
        <w:rPr>
          <w:rFonts w:ascii="Calibri" w:hAnsi="Calibri" w:cs="Calibri"/>
          <w:sz w:val="22"/>
          <w:szCs w:val="22"/>
        </w:rPr>
        <w:t xml:space="preserve"> If you receive discordant test results, </w:t>
      </w:r>
      <w:proofErr w:type="gramStart"/>
      <w:r>
        <w:rPr>
          <w:rFonts w:ascii="Calibri" w:hAnsi="Calibri" w:cs="Calibri"/>
          <w:sz w:val="22"/>
          <w:szCs w:val="22"/>
        </w:rPr>
        <w:t>it’s</w:t>
      </w:r>
      <w:proofErr w:type="gramEnd"/>
      <w:r>
        <w:rPr>
          <w:rFonts w:ascii="Calibri" w:hAnsi="Calibri" w:cs="Calibri"/>
          <w:sz w:val="22"/>
          <w:szCs w:val="22"/>
        </w:rPr>
        <w:t xml:space="preserve"> important to pay attention to them and learn more about the patient’s story to try to determine the most likely cause. If you decide to repeat a test (</w:t>
      </w:r>
      <w:proofErr w:type="gramStart"/>
      <w:r>
        <w:rPr>
          <w:rFonts w:ascii="Calibri" w:hAnsi="Calibri" w:cs="Calibri"/>
          <w:sz w:val="22"/>
          <w:szCs w:val="22"/>
        </w:rPr>
        <w:t>e.g.</w:t>
      </w:r>
      <w:proofErr w:type="gramEnd"/>
      <w:r>
        <w:rPr>
          <w:rFonts w:ascii="Calibri" w:hAnsi="Calibri" w:cs="Calibri"/>
          <w:sz w:val="22"/>
          <w:szCs w:val="22"/>
        </w:rPr>
        <w:t xml:space="preserve"> repeating the IGRA to see if it is again positive), think through what you will do with the information if it is positive vs. negative.</w:t>
      </w:r>
    </w:p>
    <w:p w14:paraId="07F08B9B" w14:textId="77777777" w:rsidR="00A17929" w:rsidRDefault="00A17929" w:rsidP="00A17929">
      <w:pPr>
        <w:pStyle w:val="m-8816904608416624122m-4872706194543974074msolistparagraph"/>
      </w:pPr>
      <w:r w:rsidRPr="00B549AA">
        <w:rPr>
          <w:rFonts w:ascii="Calibri" w:hAnsi="Calibri" w:cs="Calibri"/>
          <w:b/>
          <w:sz w:val="22"/>
          <w:szCs w:val="22"/>
        </w:rPr>
        <w:t>3.</w:t>
      </w:r>
      <w:r w:rsidRPr="00B549AA">
        <w:rPr>
          <w:b/>
          <w:sz w:val="14"/>
          <w:szCs w:val="14"/>
        </w:rPr>
        <w:t xml:space="preserve">      </w:t>
      </w:r>
      <w:r w:rsidRPr="00B549AA">
        <w:rPr>
          <w:rFonts w:ascii="Calibri" w:hAnsi="Calibri" w:cs="Calibri"/>
          <w:b/>
          <w:sz w:val="22"/>
          <w:szCs w:val="22"/>
        </w:rPr>
        <w:t>Consider patient comorbidities in interpreting tests.</w:t>
      </w:r>
      <w:r>
        <w:rPr>
          <w:rFonts w:ascii="Calibri" w:hAnsi="Calibri" w:cs="Calibri"/>
          <w:sz w:val="22"/>
          <w:szCs w:val="22"/>
        </w:rPr>
        <w:t xml:space="preserve"> Here, the patient has HIV, which can contribute to false negative IGRAs, but his HIV has been well controlled with a high CD4 count throughout, so it is less likely to contribute to his test results.</w:t>
      </w:r>
    </w:p>
    <w:p w14:paraId="322863DE" w14:textId="609D4AA2" w:rsidR="00A17929" w:rsidRPr="00B549AA" w:rsidRDefault="00A17929" w:rsidP="00A17929">
      <w:pPr>
        <w:pStyle w:val="m-8816904608416624122m-4872706194543974074msolistparagraph"/>
        <w:rPr>
          <w:b/>
        </w:rPr>
      </w:pPr>
      <w:r w:rsidRPr="00B549AA">
        <w:rPr>
          <w:rFonts w:ascii="Calibri" w:hAnsi="Calibri" w:cs="Calibri"/>
          <w:b/>
          <w:sz w:val="22"/>
          <w:szCs w:val="22"/>
        </w:rPr>
        <w:t>4.</w:t>
      </w:r>
      <w:r w:rsidRPr="00B549AA">
        <w:rPr>
          <w:b/>
          <w:sz w:val="14"/>
          <w:szCs w:val="14"/>
        </w:rPr>
        <w:t xml:space="preserve">      </w:t>
      </w:r>
      <w:r w:rsidRPr="00B549AA">
        <w:rPr>
          <w:rFonts w:ascii="Calibri" w:hAnsi="Calibri" w:cs="Calibri"/>
          <w:b/>
          <w:sz w:val="22"/>
          <w:szCs w:val="22"/>
        </w:rPr>
        <w:t>You can always call DPH to obtain treatment history.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Contact the epidemiologist line at 617-983-6970.</w:t>
      </w:r>
    </w:p>
    <w:p w14:paraId="528C1C15" w14:textId="77777777" w:rsidR="00A17929" w:rsidRDefault="00A17929" w:rsidP="00A17929">
      <w:pPr>
        <w:pStyle w:val="m-8816904608416624122m-4872706194543974074msolistparagraph"/>
      </w:pPr>
      <w:r w:rsidRPr="00B549AA">
        <w:rPr>
          <w:rFonts w:ascii="Calibri" w:hAnsi="Calibri" w:cs="Calibri"/>
          <w:b/>
          <w:sz w:val="22"/>
          <w:szCs w:val="22"/>
        </w:rPr>
        <w:t>5.</w:t>
      </w:r>
      <w:r w:rsidRPr="00B549AA">
        <w:rPr>
          <w:b/>
          <w:sz w:val="14"/>
          <w:szCs w:val="14"/>
        </w:rPr>
        <w:t xml:space="preserve">      </w:t>
      </w:r>
      <w:r w:rsidRPr="00B549AA">
        <w:rPr>
          <w:rFonts w:ascii="Calibri" w:hAnsi="Calibri" w:cs="Calibri"/>
          <w:b/>
          <w:sz w:val="22"/>
          <w:szCs w:val="22"/>
        </w:rPr>
        <w:t>Consider factors impacting adherence to treatment.</w:t>
      </w:r>
      <w:r>
        <w:rPr>
          <w:rFonts w:ascii="Calibri" w:hAnsi="Calibri" w:cs="Calibri"/>
          <w:sz w:val="22"/>
          <w:szCs w:val="22"/>
        </w:rPr>
        <w:t xml:space="preserve"> This patient has always had excellent adherence to his HIV treatment despite struggling with alcohol use, so could do well with building LTBI treatment into his routine.</w:t>
      </w:r>
    </w:p>
    <w:p w14:paraId="641E22B3" w14:textId="77777777" w:rsidR="00A17929" w:rsidRDefault="00A17929" w:rsidP="00A17929">
      <w:pPr>
        <w:pStyle w:val="m-8816904608416624122m-4872706194543974074msolistparagraph"/>
      </w:pPr>
      <w:r w:rsidRPr="00B549AA">
        <w:rPr>
          <w:rFonts w:ascii="Calibri" w:hAnsi="Calibri" w:cs="Calibri"/>
          <w:b/>
          <w:sz w:val="22"/>
          <w:szCs w:val="22"/>
        </w:rPr>
        <w:t>6.</w:t>
      </w:r>
      <w:r w:rsidRPr="00B549AA">
        <w:rPr>
          <w:b/>
          <w:sz w:val="14"/>
          <w:szCs w:val="14"/>
        </w:rPr>
        <w:t xml:space="preserve">      </w:t>
      </w:r>
      <w:r w:rsidRPr="00B549AA">
        <w:rPr>
          <w:rFonts w:ascii="Calibri" w:hAnsi="Calibri" w:cs="Calibri"/>
          <w:b/>
          <w:sz w:val="22"/>
          <w:szCs w:val="22"/>
        </w:rPr>
        <w:t>Consider comorbidities that may affect the safety of treatment.</w:t>
      </w:r>
      <w:r>
        <w:rPr>
          <w:rFonts w:ascii="Calibri" w:hAnsi="Calibri" w:cs="Calibri"/>
          <w:sz w:val="22"/>
          <w:szCs w:val="22"/>
        </w:rPr>
        <w:t xml:space="preserve"> This patient’s alcohol use puts him at greater risk for hepatotoxicity from LTBI treatment, so it might be prudent to address his alcohol use prior to considering LTBI treatment.</w:t>
      </w:r>
    </w:p>
    <w:p w14:paraId="7DE35376" w14:textId="77777777" w:rsidR="007D0119" w:rsidRDefault="007D0119"/>
    <w:sectPr w:rsidR="007D0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2D72"/>
    <w:multiLevelType w:val="hybridMultilevel"/>
    <w:tmpl w:val="5D422C6C"/>
    <w:lvl w:ilvl="0" w:tplc="48DC82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32F"/>
    <w:multiLevelType w:val="multilevel"/>
    <w:tmpl w:val="8758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</w:num>
  <w:num w:numId="3">
    <w:abstractNumId w:val="1"/>
    <w:lvlOverride w:ilvl="0"/>
  </w:num>
  <w:num w:numId="4">
    <w:abstractNumId w:val="1"/>
    <w:lvlOverride w:ilvl="0"/>
  </w:num>
  <w:num w:numId="5">
    <w:abstractNumId w:val="1"/>
    <w:lvlOverride w:ilv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3B"/>
    <w:rsid w:val="00086168"/>
    <w:rsid w:val="001B05BC"/>
    <w:rsid w:val="004442BB"/>
    <w:rsid w:val="00706F3B"/>
    <w:rsid w:val="007D0119"/>
    <w:rsid w:val="00A17929"/>
    <w:rsid w:val="00AD5FEB"/>
    <w:rsid w:val="00E023EE"/>
    <w:rsid w:val="00F7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3B11"/>
  <w15:chartTrackingRefBased/>
  <w15:docId w15:val="{E15384BB-E00E-4A00-9699-59F878F8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23EE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customStyle="1" w:styleId="m-8816904608416624122m-4872706194543974074msolistparagraph">
    <w:name w:val="m_-8816904608416624122m-4872706194543974074msolistparagraph"/>
    <w:basedOn w:val="Normal"/>
    <w:rsid w:val="00A179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C4740093EF1498A5C438829F68559" ma:contentTypeVersion="12" ma:contentTypeDescription="Create a new document." ma:contentTypeScope="" ma:versionID="4b8db38028d1b7e07b05b6bde265f78b">
  <xsd:schema xmlns:xsd="http://www.w3.org/2001/XMLSchema" xmlns:xs="http://www.w3.org/2001/XMLSchema" xmlns:p="http://schemas.microsoft.com/office/2006/metadata/properties" xmlns:ns3="94064097-2571-4b59-be25-dd8671d3c47e" xmlns:ns4="edb4dc00-4a33-4227-8e4e-5d32ed6db093" targetNamespace="http://schemas.microsoft.com/office/2006/metadata/properties" ma:root="true" ma:fieldsID="b097caf49f8bddaec1994dfc398c4b5e" ns3:_="" ns4:_="">
    <xsd:import namespace="94064097-2571-4b59-be25-dd8671d3c47e"/>
    <xsd:import namespace="edb4dc00-4a33-4227-8e4e-5d32ed6db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097-2571-4b59-be25-dd8671d3c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4dc00-4a33-4227-8e4e-5d32ed6db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11954-BB9B-46E9-9655-F4E3B9E13156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edb4dc00-4a33-4227-8e4e-5d32ed6db093"/>
    <ds:schemaRef ds:uri="http://purl.org/dc/terms/"/>
    <ds:schemaRef ds:uri="http://schemas.microsoft.com/office/2006/documentManagement/types"/>
    <ds:schemaRef ds:uri="http://schemas.microsoft.com/office/infopath/2007/PartnerControls"/>
    <ds:schemaRef ds:uri="94064097-2571-4b59-be25-dd8671d3c47e"/>
  </ds:schemaRefs>
</ds:datastoreItem>
</file>

<file path=customXml/itemProps2.xml><?xml version="1.0" encoding="utf-8"?>
<ds:datastoreItem xmlns:ds="http://schemas.openxmlformats.org/officeDocument/2006/customXml" ds:itemID="{F9C842D7-E804-4783-832E-8B6B0E91B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6E3F7-F1FF-4951-AD6D-5C2D3658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097-2571-4b59-be25-dd8671d3c47e"/>
    <ds:schemaRef ds:uri="edb4dc00-4a33-4227-8e4e-5d32ed6db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Thal</dc:creator>
  <cp:keywords/>
  <dc:description/>
  <cp:lastModifiedBy>Foley, G Susan</cp:lastModifiedBy>
  <cp:revision>2</cp:revision>
  <dcterms:created xsi:type="dcterms:W3CDTF">2022-04-27T14:58:00Z</dcterms:created>
  <dcterms:modified xsi:type="dcterms:W3CDTF">2022-04-27T14:58:00Z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0x0101005C0C4740093EF1498A5C438829F68559</vt:lpwstr>
  </property>
</Properties>
</file>