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B4E59" w14:textId="3FD78B1A" w:rsidR="008C515D" w:rsidRDefault="008C515D" w:rsidP="00C278AC">
      <w:pPr>
        <w:spacing w:after="0" w:line="240" w:lineRule="auto"/>
        <w:rPr>
          <w:b/>
          <w:u w:val="single"/>
        </w:rPr>
      </w:pPr>
      <w:r w:rsidRPr="008C515D">
        <w:rPr>
          <w:b/>
          <w:u w:val="single"/>
        </w:rPr>
        <w:t xml:space="preserve">MA LTBI ECHO </w:t>
      </w:r>
      <w:r w:rsidR="006A3A60">
        <w:rPr>
          <w:b/>
          <w:u w:val="single"/>
        </w:rPr>
        <w:t>Key Take-Home Points, Session #3</w:t>
      </w:r>
      <w:r w:rsidRPr="008C515D">
        <w:rPr>
          <w:b/>
          <w:u w:val="single"/>
        </w:rPr>
        <w:t xml:space="preserve"> 1</w:t>
      </w:r>
      <w:r w:rsidR="006A3A60">
        <w:rPr>
          <w:b/>
          <w:u w:val="single"/>
        </w:rPr>
        <w:t>2/17/20</w:t>
      </w:r>
    </w:p>
    <w:p w14:paraId="4B003657" w14:textId="7B9D5A2E" w:rsidR="006A3A60" w:rsidRDefault="006A3A60" w:rsidP="00C278AC">
      <w:pPr>
        <w:spacing w:after="0" w:line="240" w:lineRule="auto"/>
        <w:rPr>
          <w:b/>
          <w:u w:val="single"/>
        </w:rPr>
      </w:pPr>
    </w:p>
    <w:p w14:paraId="49F14720" w14:textId="079AA505" w:rsidR="006A3A60" w:rsidRPr="006A3A60" w:rsidRDefault="006A3A60" w:rsidP="006A3A60">
      <w:pPr>
        <w:pStyle w:val="ListParagraph"/>
        <w:numPr>
          <w:ilvl w:val="0"/>
          <w:numId w:val="2"/>
        </w:numPr>
        <w:rPr>
          <w:rFonts w:ascii="Times New Roman" w:hAnsi="Times New Roman" w:cs="Times New Roman"/>
        </w:rPr>
      </w:pPr>
      <w:r w:rsidRPr="006A3A60">
        <w:rPr>
          <w:b/>
        </w:rPr>
        <w:t xml:space="preserve"> When there is a concern for active TB disease, a different diagnostic algorithm should be considered than what we typically do for latent TB infection.</w:t>
      </w:r>
      <w:r>
        <w:t xml:space="preserve"> Our TST and IGRA tests are designed to help us identify patients who might have latent TB infection and are not useful in active TB disease since TB disease itself impacts immune response and therefore, these tests can be falsely negative. If a patient has concerns for active TB disease, a chest x-ray and sputum collection are great first steps. In this case, the positive IGRA may increase our suspicion for TB disease, however, it should not necessarily change our management initially. Chest x-ray and sputum should happen concurrently with a consultation to a specialist. Additionally, this patient should be worked up appropriately for a chronic cough and hemoptysis. In primary care, this would include an expanded history and physical examination for possible autoimmune/systemic conditions which would help us decide if this patient should have additional laboratory testing done. At the minimum, Hgb/</w:t>
      </w:r>
      <w:proofErr w:type="spellStart"/>
      <w:r>
        <w:t>Hct</w:t>
      </w:r>
      <w:proofErr w:type="spellEnd"/>
      <w:r>
        <w:t xml:space="preserve"> would be helpful to ensure that hemoptysis has been mild and has not led to an anemia. A CT scan would be a useful addition here since the patient is a smoker and chronic bronchitis and bronchiectasis (if </w:t>
      </w:r>
      <w:proofErr w:type="spellStart"/>
      <w:r>
        <w:t>pt</w:t>
      </w:r>
      <w:proofErr w:type="spellEnd"/>
      <w:r>
        <w:t xml:space="preserve"> has had hx of lung infections) can both cause hemoptysis. </w:t>
      </w:r>
    </w:p>
    <w:p w14:paraId="48428345" w14:textId="77777777" w:rsidR="006A3A60" w:rsidRDefault="006A3A60" w:rsidP="006A3A60"/>
    <w:p w14:paraId="741AACFD" w14:textId="0BBD04D0" w:rsidR="007D0119" w:rsidRPr="00725266" w:rsidRDefault="006A3A60" w:rsidP="00214D84">
      <w:pPr>
        <w:pStyle w:val="ListParagraph"/>
        <w:numPr>
          <w:ilvl w:val="0"/>
          <w:numId w:val="2"/>
        </w:numPr>
        <w:rPr>
          <w:b/>
        </w:rPr>
      </w:pPr>
      <w:r w:rsidRPr="006A3A60">
        <w:rPr>
          <w:b/>
        </w:rPr>
        <w:t xml:space="preserve">Once the above workup is completed and </w:t>
      </w:r>
      <w:proofErr w:type="gramStart"/>
      <w:r w:rsidRPr="006A3A60">
        <w:rPr>
          <w:b/>
        </w:rPr>
        <w:t>let's</w:t>
      </w:r>
      <w:proofErr w:type="gramEnd"/>
      <w:r w:rsidRPr="006A3A60">
        <w:rPr>
          <w:b/>
        </w:rPr>
        <w:t xml:space="preserve"> say that TB disease has been ruled out, then and only then, should we consider the positive IGRA and whether or not this is a true positive.</w:t>
      </w:r>
      <w:r>
        <w:t xml:space="preserve"> If risk of exposure is suspected, then we could go ahead and treat this patient for LTBI. </w:t>
      </w:r>
      <w:proofErr w:type="gramStart"/>
      <w:r>
        <w:t>Of course</w:t>
      </w:r>
      <w:proofErr w:type="gramEnd"/>
      <w:r>
        <w:t xml:space="preserve"> we would want to also take into consideration his HCV as well as if he is found to have an autoimmune disorder that may prompt treatment with medications that might interfere with LTBI treatment. If his risk of exposure is low, a TST could be useful here to help us </w:t>
      </w:r>
      <w:proofErr w:type="gramStart"/>
      <w:r>
        <w:t>make a decision</w:t>
      </w:r>
      <w:proofErr w:type="gramEnd"/>
      <w:r>
        <w:t xml:space="preserve"> about treatment.</w:t>
      </w:r>
    </w:p>
    <w:p w14:paraId="3F8DD49C" w14:textId="77777777" w:rsidR="00725266" w:rsidRPr="00725266" w:rsidRDefault="00725266" w:rsidP="00725266">
      <w:pPr>
        <w:pStyle w:val="ListParagraph"/>
        <w:rPr>
          <w:b/>
        </w:rPr>
      </w:pPr>
    </w:p>
    <w:p w14:paraId="7C66C8D9" w14:textId="60B2E31B" w:rsidR="00725266" w:rsidRDefault="00725266" w:rsidP="00725266">
      <w:pPr>
        <w:spacing w:after="0" w:line="240" w:lineRule="auto"/>
        <w:rPr>
          <w:b/>
          <w:u w:val="single"/>
        </w:rPr>
      </w:pPr>
      <w:r w:rsidRPr="008C515D">
        <w:rPr>
          <w:b/>
          <w:u w:val="single"/>
        </w:rPr>
        <w:t xml:space="preserve">MA LTBI ECHO </w:t>
      </w:r>
      <w:r>
        <w:rPr>
          <w:b/>
          <w:u w:val="single"/>
        </w:rPr>
        <w:t>Key Take-Home Points, Session #4</w:t>
      </w:r>
      <w:r w:rsidRPr="008C515D">
        <w:rPr>
          <w:b/>
          <w:u w:val="single"/>
        </w:rPr>
        <w:t xml:space="preserve"> 1</w:t>
      </w:r>
      <w:r>
        <w:rPr>
          <w:b/>
          <w:u w:val="single"/>
        </w:rPr>
        <w:t>/21/21</w:t>
      </w:r>
    </w:p>
    <w:p w14:paraId="49BF76DF" w14:textId="514030B6" w:rsidR="00725266" w:rsidRDefault="00725266" w:rsidP="00725266">
      <w:pPr>
        <w:spacing w:after="0" w:line="240" w:lineRule="auto"/>
        <w:rPr>
          <w:b/>
          <w:u w:val="single"/>
        </w:rPr>
      </w:pPr>
    </w:p>
    <w:p w14:paraId="26999EF2" w14:textId="2A9D5E21" w:rsidR="00725266" w:rsidRPr="00725266" w:rsidRDefault="00725266" w:rsidP="00725266">
      <w:pPr>
        <w:pStyle w:val="ListParagraph"/>
        <w:numPr>
          <w:ilvl w:val="0"/>
          <w:numId w:val="3"/>
        </w:numPr>
        <w:spacing w:after="0" w:line="240" w:lineRule="auto"/>
        <w:rPr>
          <w:b/>
        </w:rPr>
      </w:pPr>
      <w:r w:rsidRPr="004C16F0">
        <w:rPr>
          <w:b/>
        </w:rPr>
        <w:t>It is always worthwhile to reach out to TB experts or members of the hub team to discuss difficult cases.</w:t>
      </w:r>
      <w:r>
        <w:t xml:space="preserve"> Particularly in patients with underlying medical conditions, experts are more than happy to provide guidance and think through patients together. In the situation of this teenager with worsening neutropenia on rifampin, the FHCW team had called Dr. Bernardo who provided guidance to stop medication, repeat labs in a week and if no improvement, refer to heme. When in doubt about side effects, stop the medication and reassess!</w:t>
      </w:r>
    </w:p>
    <w:p w14:paraId="7230F39F" w14:textId="68FA6809" w:rsidR="00725266" w:rsidRPr="00725266" w:rsidRDefault="00725266" w:rsidP="00725266">
      <w:pPr>
        <w:pStyle w:val="ListParagraph"/>
        <w:numPr>
          <w:ilvl w:val="0"/>
          <w:numId w:val="3"/>
        </w:numPr>
        <w:spacing w:after="0" w:line="240" w:lineRule="auto"/>
        <w:rPr>
          <w:b/>
        </w:rPr>
      </w:pPr>
      <w:r>
        <w:rPr>
          <w:b/>
        </w:rPr>
        <w:t>There is nothing magic about 4 months of RIF (or 9 months of INH).</w:t>
      </w:r>
      <w:r>
        <w:t xml:space="preserve"> As we know, shorter-than-recommended durations of treatment may offer some protection against conversion to active TB (as with 6 months of INH), but there is no data on the efficacy of &lt;4 months of rifampin. That said, stopping a few days shy of the full 120 doses (as the patient in question did, stopping 11 days before completion) likely offers comparable protection. A patient who stops at 3 months or less of rifampin does need to be re-treated for LTBI. </w:t>
      </w:r>
    </w:p>
    <w:p w14:paraId="6D6E67B7" w14:textId="69760B24" w:rsidR="00725266" w:rsidRDefault="00725266" w:rsidP="00725266">
      <w:pPr>
        <w:rPr>
          <w:b/>
        </w:rPr>
      </w:pPr>
    </w:p>
    <w:p w14:paraId="7096572A" w14:textId="247D77C2" w:rsidR="00725266" w:rsidRDefault="00725266" w:rsidP="00725266">
      <w:pPr>
        <w:rPr>
          <w:b/>
        </w:rPr>
      </w:pPr>
      <w:r>
        <w:rPr>
          <w:b/>
        </w:rPr>
        <w:t xml:space="preserve">Pearls from Dr. Bernardo’s update about nitrosamine contamination of </w:t>
      </w:r>
      <w:proofErr w:type="spellStart"/>
      <w:r>
        <w:rPr>
          <w:b/>
        </w:rPr>
        <w:t>rifamycins</w:t>
      </w:r>
      <w:proofErr w:type="spellEnd"/>
      <w:r>
        <w:rPr>
          <w:b/>
        </w:rPr>
        <w:t>:</w:t>
      </w:r>
    </w:p>
    <w:p w14:paraId="612CF385" w14:textId="03A5CF65" w:rsidR="00725266" w:rsidRPr="00725266" w:rsidRDefault="00725266" w:rsidP="00725266">
      <w:pPr>
        <w:pStyle w:val="ListParagraph"/>
        <w:numPr>
          <w:ilvl w:val="0"/>
          <w:numId w:val="4"/>
        </w:numPr>
        <w:rPr>
          <w:b/>
        </w:rPr>
      </w:pPr>
      <w:r>
        <w:rPr>
          <w:b/>
        </w:rPr>
        <w:lastRenderedPageBreak/>
        <w:t xml:space="preserve">The latest estimate is that it will take ~3 years to resolve the issue with nitrosamine contamination of rifampin and rifapentine. </w:t>
      </w:r>
      <w:r>
        <w:t>We may need to get comfortable with using INH in most patients for this period.</w:t>
      </w:r>
    </w:p>
    <w:p w14:paraId="49509771" w14:textId="0A336987" w:rsidR="008A5D97" w:rsidRDefault="008A5D97" w:rsidP="008A5D97">
      <w:pPr>
        <w:pStyle w:val="ListParagraph"/>
        <w:numPr>
          <w:ilvl w:val="0"/>
          <w:numId w:val="4"/>
        </w:numPr>
        <w:rPr>
          <w:b/>
        </w:rPr>
      </w:pPr>
      <w:r>
        <w:rPr>
          <w:b/>
        </w:rPr>
        <w:t xml:space="preserve">Rifapentine production has been suspended as of June 2020. </w:t>
      </w:r>
      <w:r>
        <w:t xml:space="preserve">See </w:t>
      </w:r>
      <w:hyperlink r:id="rId8" w:history="1">
        <w:r w:rsidRPr="00404EAD">
          <w:rPr>
            <w:rStyle w:val="Hyperlink"/>
          </w:rPr>
          <w:t>https://www.cdc.gov/tb/publications/letters/reported_rifapentine.html</w:t>
        </w:r>
      </w:hyperlink>
      <w:r>
        <w:t xml:space="preserve">. At this </w:t>
      </w:r>
      <w:proofErr w:type="gramStart"/>
      <w:r>
        <w:t>time</w:t>
      </w:r>
      <w:proofErr w:type="gramEnd"/>
      <w:r>
        <w:t xml:space="preserve"> we should not be starting new courses of 3HP. </w:t>
      </w:r>
    </w:p>
    <w:p w14:paraId="52619016" w14:textId="45D9A30A" w:rsidR="00725266" w:rsidRPr="00725266" w:rsidRDefault="00725266" w:rsidP="00725266">
      <w:pPr>
        <w:pStyle w:val="ListParagraph"/>
        <w:numPr>
          <w:ilvl w:val="0"/>
          <w:numId w:val="4"/>
        </w:numPr>
        <w:rPr>
          <w:b/>
        </w:rPr>
      </w:pPr>
      <w:r>
        <w:rPr>
          <w:b/>
        </w:rPr>
        <w:t>Rifabutin does not contain nitrosamines.</w:t>
      </w:r>
      <w:r>
        <w:t xml:space="preserve"> There may be data in the future about using this for LTBI treatment.</w:t>
      </w:r>
    </w:p>
    <w:p w14:paraId="3BF1081B" w14:textId="67715AF9" w:rsidR="00725266" w:rsidRPr="00725266" w:rsidRDefault="00725266" w:rsidP="00725266">
      <w:pPr>
        <w:pStyle w:val="ListParagraph"/>
        <w:numPr>
          <w:ilvl w:val="0"/>
          <w:numId w:val="4"/>
        </w:numPr>
        <w:rPr>
          <w:b/>
        </w:rPr>
      </w:pPr>
      <w:r>
        <w:rPr>
          <w:b/>
        </w:rPr>
        <w:t>Rifampin still needs careful, cautious consideration.</w:t>
      </w:r>
      <w:r>
        <w:t xml:space="preserve"> Most patients should not be initiated on rifampin given the FDA advisory, but for those who may derive a clear benefit from this over other LTBI regimens, we should be having thorough risk/benefit discussions. We talked about how to frame the risk of nitrosamine contamination with p</w:t>
      </w:r>
      <w:r w:rsidR="00D072D3">
        <w:t xml:space="preserve">atients, especially given that </w:t>
      </w:r>
      <w:r>
        <w:t>nitrosamines are present in regularly consumed food items such as cooked</w:t>
      </w:r>
      <w:r w:rsidR="00D072D3">
        <w:t xml:space="preserve"> meats and beer, but that added exposure does incur risk of carcinogenicity.</w:t>
      </w:r>
    </w:p>
    <w:sectPr w:rsidR="00725266" w:rsidRPr="00725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6E6B58"/>
    <w:multiLevelType w:val="hybridMultilevel"/>
    <w:tmpl w:val="C974E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B82D71"/>
    <w:multiLevelType w:val="hybridMultilevel"/>
    <w:tmpl w:val="B0204618"/>
    <w:lvl w:ilvl="0" w:tplc="A9688876">
      <w:start w:val="1"/>
      <w:numFmt w:val="decimal"/>
      <w:lvlText w:val="%1."/>
      <w:lvlJc w:val="left"/>
      <w:pPr>
        <w:ind w:left="720" w:hanging="360"/>
      </w:pPr>
      <w:rPr>
        <w:rFonts w:ascii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EE6793"/>
    <w:multiLevelType w:val="hybridMultilevel"/>
    <w:tmpl w:val="88640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560D84"/>
    <w:multiLevelType w:val="hybridMultilevel"/>
    <w:tmpl w:val="5EC2D47A"/>
    <w:lvl w:ilvl="0" w:tplc="7950823A">
      <w:start w:val="1"/>
      <w:numFmt w:val="decimal"/>
      <w:lvlText w:val="%1."/>
      <w:lvlJc w:val="left"/>
      <w:pPr>
        <w:ind w:left="780" w:hanging="4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8AC"/>
    <w:rsid w:val="001B05BC"/>
    <w:rsid w:val="00214D84"/>
    <w:rsid w:val="006A3A60"/>
    <w:rsid w:val="00725266"/>
    <w:rsid w:val="007D0119"/>
    <w:rsid w:val="008A5D97"/>
    <w:rsid w:val="008C515D"/>
    <w:rsid w:val="00AD5FEB"/>
    <w:rsid w:val="00C278AC"/>
    <w:rsid w:val="00D072D3"/>
    <w:rsid w:val="00F37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0F516"/>
  <w15:chartTrackingRefBased/>
  <w15:docId w15:val="{636E63EA-3C71-43C4-82BD-BB18AF233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78A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278AC"/>
    <w:pPr>
      <w:ind w:left="720"/>
      <w:contextualSpacing/>
    </w:pPr>
  </w:style>
  <w:style w:type="character" w:styleId="Hyperlink">
    <w:name w:val="Hyperlink"/>
    <w:basedOn w:val="DefaultParagraphFont"/>
    <w:uiPriority w:val="99"/>
    <w:unhideWhenUsed/>
    <w:rsid w:val="008A5D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865934">
      <w:bodyDiv w:val="1"/>
      <w:marLeft w:val="0"/>
      <w:marRight w:val="0"/>
      <w:marTop w:val="0"/>
      <w:marBottom w:val="0"/>
      <w:divBdr>
        <w:top w:val="none" w:sz="0" w:space="0" w:color="auto"/>
        <w:left w:val="none" w:sz="0" w:space="0" w:color="auto"/>
        <w:bottom w:val="none" w:sz="0" w:space="0" w:color="auto"/>
        <w:right w:val="none" w:sz="0" w:space="0" w:color="auto"/>
      </w:divBdr>
      <w:divsChild>
        <w:div w:id="584265542">
          <w:marLeft w:val="0"/>
          <w:marRight w:val="0"/>
          <w:marTop w:val="0"/>
          <w:marBottom w:val="0"/>
          <w:divBdr>
            <w:top w:val="none" w:sz="0" w:space="0" w:color="auto"/>
            <w:left w:val="none" w:sz="0" w:space="0" w:color="auto"/>
            <w:bottom w:val="none" w:sz="0" w:space="0" w:color="auto"/>
            <w:right w:val="none" w:sz="0" w:space="0" w:color="auto"/>
          </w:divBdr>
          <w:divsChild>
            <w:div w:id="276497025">
              <w:marLeft w:val="0"/>
              <w:marRight w:val="0"/>
              <w:marTop w:val="0"/>
              <w:marBottom w:val="0"/>
              <w:divBdr>
                <w:top w:val="none" w:sz="0" w:space="0" w:color="auto"/>
                <w:left w:val="none" w:sz="0" w:space="0" w:color="auto"/>
                <w:bottom w:val="none" w:sz="0" w:space="0" w:color="auto"/>
                <w:right w:val="none" w:sz="0" w:space="0" w:color="auto"/>
              </w:divBdr>
              <w:divsChild>
                <w:div w:id="1849130090">
                  <w:marLeft w:val="0"/>
                  <w:marRight w:val="0"/>
                  <w:marTop w:val="120"/>
                  <w:marBottom w:val="0"/>
                  <w:divBdr>
                    <w:top w:val="none" w:sz="0" w:space="0" w:color="auto"/>
                    <w:left w:val="none" w:sz="0" w:space="0" w:color="auto"/>
                    <w:bottom w:val="none" w:sz="0" w:space="0" w:color="auto"/>
                    <w:right w:val="none" w:sz="0" w:space="0" w:color="auto"/>
                  </w:divBdr>
                  <w:divsChild>
                    <w:div w:id="596913495">
                      <w:marLeft w:val="0"/>
                      <w:marRight w:val="0"/>
                      <w:marTop w:val="0"/>
                      <w:marBottom w:val="0"/>
                      <w:divBdr>
                        <w:top w:val="none" w:sz="0" w:space="0" w:color="auto"/>
                        <w:left w:val="none" w:sz="0" w:space="0" w:color="auto"/>
                        <w:bottom w:val="none" w:sz="0" w:space="0" w:color="auto"/>
                        <w:right w:val="none" w:sz="0" w:space="0" w:color="auto"/>
                      </w:divBdr>
                      <w:divsChild>
                        <w:div w:id="1924219666">
                          <w:marLeft w:val="0"/>
                          <w:marRight w:val="0"/>
                          <w:marTop w:val="0"/>
                          <w:marBottom w:val="0"/>
                          <w:divBdr>
                            <w:top w:val="none" w:sz="0" w:space="0" w:color="auto"/>
                            <w:left w:val="none" w:sz="0" w:space="0" w:color="auto"/>
                            <w:bottom w:val="none" w:sz="0" w:space="0" w:color="auto"/>
                            <w:right w:val="none" w:sz="0" w:space="0" w:color="auto"/>
                          </w:divBdr>
                          <w:divsChild>
                            <w:div w:id="1815291456">
                              <w:marLeft w:val="0"/>
                              <w:marRight w:val="0"/>
                              <w:marTop w:val="0"/>
                              <w:marBottom w:val="0"/>
                              <w:divBdr>
                                <w:top w:val="none" w:sz="0" w:space="0" w:color="auto"/>
                                <w:left w:val="none" w:sz="0" w:space="0" w:color="auto"/>
                                <w:bottom w:val="none" w:sz="0" w:space="0" w:color="auto"/>
                                <w:right w:val="none" w:sz="0" w:space="0" w:color="auto"/>
                              </w:divBdr>
                              <w:divsChild>
                                <w:div w:id="1297443567">
                                  <w:marLeft w:val="0"/>
                                  <w:marRight w:val="0"/>
                                  <w:marTop w:val="0"/>
                                  <w:marBottom w:val="0"/>
                                  <w:divBdr>
                                    <w:top w:val="none" w:sz="0" w:space="0" w:color="auto"/>
                                    <w:left w:val="none" w:sz="0" w:space="0" w:color="auto"/>
                                    <w:bottom w:val="none" w:sz="0" w:space="0" w:color="auto"/>
                                    <w:right w:val="none" w:sz="0" w:space="0" w:color="auto"/>
                                  </w:divBdr>
                                  <w:divsChild>
                                    <w:div w:id="1216895801">
                                      <w:marLeft w:val="0"/>
                                      <w:marRight w:val="0"/>
                                      <w:marTop w:val="30"/>
                                      <w:marBottom w:val="0"/>
                                      <w:divBdr>
                                        <w:top w:val="none" w:sz="0" w:space="0" w:color="auto"/>
                                        <w:left w:val="none" w:sz="0" w:space="0" w:color="auto"/>
                                        <w:bottom w:val="none" w:sz="0" w:space="0" w:color="auto"/>
                                        <w:right w:val="none" w:sz="0" w:space="0" w:color="auto"/>
                                      </w:divBdr>
                                      <w:divsChild>
                                        <w:div w:id="134717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tb/publications/letters/reported_rifapentine.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0C4740093EF1498A5C438829F68559" ma:contentTypeVersion="8" ma:contentTypeDescription="Create a new document." ma:contentTypeScope="" ma:versionID="730a651b217b4f86e9197e6a4e3d7700">
  <xsd:schema xmlns:xsd="http://www.w3.org/2001/XMLSchema" xmlns:xs="http://www.w3.org/2001/XMLSchema" xmlns:p="http://schemas.microsoft.com/office/2006/metadata/properties" xmlns:ns3="94064097-2571-4b59-be25-dd8671d3c47e" targetNamespace="http://schemas.microsoft.com/office/2006/metadata/properties" ma:root="true" ma:fieldsID="b0e7f0c5f9615d4bda0337cc5743693f" ns3:_="">
    <xsd:import namespace="94064097-2571-4b59-be25-dd8671d3c47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64097-2571-4b59-be25-dd8671d3c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9D4D34-8BB4-40D5-B6C1-904B44665B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91B791-5572-43F4-9DDB-653E40EE8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64097-2571-4b59-be25-dd8671d3c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9D379C-0EF2-44C3-B0D8-4DE8004395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Thal</dc:creator>
  <cp:keywords/>
  <dc:description/>
  <cp:lastModifiedBy>Foley, G Susan</cp:lastModifiedBy>
  <cp:revision>2</cp:revision>
  <dcterms:created xsi:type="dcterms:W3CDTF">2021-02-26T19:34:00Z</dcterms:created>
  <dcterms:modified xsi:type="dcterms:W3CDTF">2021-02-26T19:34:00Z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0x0101005C0C4740093EF1498A5C438829F68559</vt:lpwstr>
  </property>
</Properties>
</file>