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83EA" w14:textId="242C90FA" w:rsidR="00A07B14" w:rsidRDefault="008C515D" w:rsidP="00C278AC">
      <w:pPr>
        <w:spacing w:after="0" w:line="240" w:lineRule="auto"/>
        <w:rPr>
          <w:b/>
          <w:u w:val="single"/>
        </w:rPr>
      </w:pPr>
      <w:r w:rsidRPr="008C515D">
        <w:rPr>
          <w:b/>
          <w:u w:val="single"/>
        </w:rPr>
        <w:t xml:space="preserve">MA LTBI ECHO </w:t>
      </w:r>
      <w:r w:rsidR="006A3A60">
        <w:rPr>
          <w:b/>
          <w:u w:val="single"/>
        </w:rPr>
        <w:t xml:space="preserve">Key Take-Home Points, </w:t>
      </w:r>
      <w:r w:rsidR="002153AE">
        <w:rPr>
          <w:b/>
          <w:u w:val="single"/>
        </w:rPr>
        <w:t>5/2</w:t>
      </w:r>
      <w:r w:rsidR="00F9061A">
        <w:rPr>
          <w:b/>
          <w:u w:val="single"/>
        </w:rPr>
        <w:t>0</w:t>
      </w:r>
      <w:r w:rsidR="002153AE">
        <w:rPr>
          <w:b/>
          <w:u w:val="single"/>
        </w:rPr>
        <w:t>/21 Session</w:t>
      </w:r>
    </w:p>
    <w:p w14:paraId="68FEB711" w14:textId="77777777" w:rsidR="002153AE" w:rsidRPr="004B6308" w:rsidRDefault="002153AE" w:rsidP="002153AE">
      <w:pPr>
        <w:shd w:val="clear" w:color="auto" w:fill="FFFFFF"/>
        <w:spacing w:before="200" w:line="176" w:lineRule="atLeast"/>
        <w:rPr>
          <w:rFonts w:cstheme="minorHAnsi"/>
          <w:b/>
          <w:bCs/>
          <w:color w:val="222222"/>
        </w:rPr>
      </w:pPr>
      <w:r w:rsidRPr="004B6308">
        <w:rPr>
          <w:rFonts w:cstheme="minorHAnsi"/>
          <w:b/>
          <w:bCs/>
          <w:color w:val="222222"/>
        </w:rPr>
        <w:t>Case #1</w:t>
      </w:r>
    </w:p>
    <w:p w14:paraId="0EC20656" w14:textId="77777777" w:rsidR="002153AE" w:rsidRPr="004B6308" w:rsidRDefault="002153AE" w:rsidP="002153AE">
      <w:pPr>
        <w:pStyle w:val="ListParagraph"/>
        <w:numPr>
          <w:ilvl w:val="0"/>
          <w:numId w:val="5"/>
        </w:numPr>
        <w:spacing w:after="0" w:line="240" w:lineRule="auto"/>
        <w:contextualSpacing w:val="0"/>
        <w:rPr>
          <w:rFonts w:cstheme="minorHAnsi"/>
        </w:rPr>
      </w:pPr>
      <w:r w:rsidRPr="004B6308">
        <w:rPr>
          <w:rFonts w:cstheme="minorHAnsi"/>
          <w:b/>
          <w:bCs/>
        </w:rPr>
        <w:t>Monitor baseline and monthly LFTs in patients with chronic liver disease who are taking INH or rifampin.</w:t>
      </w:r>
    </w:p>
    <w:p w14:paraId="4479BEB9" w14:textId="77777777" w:rsidR="002153AE" w:rsidRPr="004B6308" w:rsidRDefault="002153AE" w:rsidP="002153AE">
      <w:pPr>
        <w:pStyle w:val="ListParagraph"/>
        <w:numPr>
          <w:ilvl w:val="0"/>
          <w:numId w:val="5"/>
        </w:numPr>
        <w:spacing w:after="0" w:line="240" w:lineRule="auto"/>
        <w:contextualSpacing w:val="0"/>
        <w:rPr>
          <w:rFonts w:cstheme="minorHAnsi"/>
        </w:rPr>
      </w:pPr>
      <w:r w:rsidRPr="004B6308">
        <w:rPr>
          <w:rFonts w:cstheme="minorHAnsi"/>
          <w:b/>
          <w:bCs/>
        </w:rPr>
        <w:t xml:space="preserve">If a patient has symptomatic transaminitis &gt; 3x ULN, stop INH; asymptomatic and &gt;5x stop INH. </w:t>
      </w:r>
      <w:r w:rsidRPr="004B6308">
        <w:rPr>
          <w:rFonts w:cstheme="minorHAnsi"/>
        </w:rPr>
        <w:t xml:space="preserve">Even if there is another reason for a potential transaminitis, INH should be stopped immediately until further evaluation is conducted.  </w:t>
      </w:r>
    </w:p>
    <w:p w14:paraId="66F2C216" w14:textId="041A67FE" w:rsidR="002153AE" w:rsidRPr="002153AE" w:rsidRDefault="002153AE" w:rsidP="002153AE">
      <w:pPr>
        <w:pStyle w:val="ListParagraph"/>
        <w:numPr>
          <w:ilvl w:val="0"/>
          <w:numId w:val="5"/>
        </w:numPr>
        <w:spacing w:after="0" w:line="240" w:lineRule="auto"/>
        <w:contextualSpacing w:val="0"/>
        <w:rPr>
          <w:rFonts w:cstheme="minorHAnsi"/>
        </w:rPr>
      </w:pPr>
      <w:r w:rsidRPr="004B6308">
        <w:rPr>
          <w:rFonts w:cstheme="minorHAnsi"/>
          <w:b/>
          <w:bCs/>
        </w:rPr>
        <w:t>As we treat more patients in primary care, it is crucial to review medication lists to look for potential causes of abdominal symptoms and laboratory abnormalities.</w:t>
      </w:r>
      <w:r w:rsidRPr="004B6308">
        <w:rPr>
          <w:rFonts w:cstheme="minorHAnsi"/>
        </w:rPr>
        <w:t xml:space="preserve"> </w:t>
      </w:r>
    </w:p>
    <w:p w14:paraId="0A0CC2FA" w14:textId="77777777" w:rsidR="002153AE" w:rsidRPr="004B6308" w:rsidRDefault="002153AE" w:rsidP="002153AE">
      <w:pPr>
        <w:shd w:val="clear" w:color="auto" w:fill="FFFFFF"/>
        <w:spacing w:before="200" w:line="176" w:lineRule="atLeast"/>
        <w:rPr>
          <w:rFonts w:cstheme="minorHAnsi"/>
          <w:b/>
          <w:bCs/>
          <w:color w:val="222222"/>
        </w:rPr>
      </w:pPr>
      <w:r>
        <w:rPr>
          <w:rFonts w:cstheme="minorHAnsi"/>
          <w:b/>
          <w:bCs/>
          <w:color w:val="222222"/>
        </w:rPr>
        <w:t>Case #2</w:t>
      </w:r>
    </w:p>
    <w:p w14:paraId="26A0A366" w14:textId="77777777" w:rsidR="002153AE" w:rsidRPr="004B6308" w:rsidRDefault="002153AE" w:rsidP="002153AE">
      <w:pPr>
        <w:pStyle w:val="ListParagraph"/>
        <w:numPr>
          <w:ilvl w:val="0"/>
          <w:numId w:val="6"/>
        </w:numPr>
        <w:spacing w:after="0" w:line="240" w:lineRule="auto"/>
        <w:contextualSpacing w:val="0"/>
        <w:rPr>
          <w:rFonts w:cstheme="minorHAnsi"/>
        </w:rPr>
      </w:pPr>
      <w:r w:rsidRPr="004B6308">
        <w:rPr>
          <w:rFonts w:cstheme="minorHAnsi"/>
          <w:b/>
          <w:color w:val="000000"/>
        </w:rPr>
        <w:t xml:space="preserve">Counseling: </w:t>
      </w:r>
      <w:r w:rsidRPr="004B6308">
        <w:rPr>
          <w:rFonts w:cstheme="minorHAnsi"/>
          <w:b/>
          <w:color w:val="222222"/>
        </w:rPr>
        <w:t xml:space="preserve">TB testing results can be ambiguous and confusing! </w:t>
      </w:r>
      <w:r>
        <w:rPr>
          <w:rFonts w:cstheme="minorHAnsi"/>
          <w:color w:val="222222"/>
        </w:rPr>
        <w:t>We have heard great counseling on testing and treatment</w:t>
      </w:r>
      <w:r w:rsidRPr="004B6308">
        <w:rPr>
          <w:rFonts w:cstheme="minorHAnsi"/>
          <w:color w:val="222222"/>
        </w:rPr>
        <w:t xml:space="preserve"> from participants, including: </w:t>
      </w:r>
    </w:p>
    <w:p w14:paraId="7BA94AD4" w14:textId="77777777" w:rsidR="002153AE" w:rsidRPr="004B6308" w:rsidRDefault="002153AE" w:rsidP="002153AE">
      <w:pPr>
        <w:pStyle w:val="ListParagraph"/>
        <w:numPr>
          <w:ilvl w:val="1"/>
          <w:numId w:val="6"/>
        </w:numPr>
        <w:spacing w:after="0" w:line="240" w:lineRule="auto"/>
        <w:contextualSpacing w:val="0"/>
        <w:rPr>
          <w:rFonts w:cstheme="minorHAnsi"/>
        </w:rPr>
      </w:pPr>
      <w:r w:rsidRPr="004B6308">
        <w:rPr>
          <w:rFonts w:cstheme="minorHAnsi"/>
          <w:color w:val="222222"/>
        </w:rPr>
        <w:t>Latent TB infection is common worldwide</w:t>
      </w:r>
    </w:p>
    <w:p w14:paraId="28A8B1DC" w14:textId="77777777" w:rsidR="002153AE" w:rsidRPr="004B6308" w:rsidRDefault="002153AE" w:rsidP="002153AE">
      <w:pPr>
        <w:pStyle w:val="ListParagraph"/>
        <w:numPr>
          <w:ilvl w:val="1"/>
          <w:numId w:val="6"/>
        </w:numPr>
        <w:autoSpaceDE w:val="0"/>
        <w:autoSpaceDN w:val="0"/>
        <w:adjustRightInd w:val="0"/>
        <w:spacing w:after="0" w:line="240" w:lineRule="auto"/>
        <w:rPr>
          <w:rFonts w:cstheme="minorHAnsi"/>
          <w:color w:val="222222"/>
        </w:rPr>
      </w:pPr>
      <w:r w:rsidRPr="004B6308">
        <w:rPr>
          <w:rFonts w:cstheme="minorHAnsi"/>
          <w:color w:val="222222"/>
        </w:rPr>
        <w:t>TB germs are sleeping or hiding inside the body</w:t>
      </w:r>
    </w:p>
    <w:p w14:paraId="6ABC0EB9" w14:textId="77777777" w:rsidR="002153AE" w:rsidRPr="004B6308" w:rsidRDefault="002153AE" w:rsidP="002153AE">
      <w:pPr>
        <w:pStyle w:val="ListParagraph"/>
        <w:numPr>
          <w:ilvl w:val="1"/>
          <w:numId w:val="6"/>
        </w:numPr>
        <w:autoSpaceDE w:val="0"/>
        <w:autoSpaceDN w:val="0"/>
        <w:adjustRightInd w:val="0"/>
        <w:spacing w:after="0" w:line="240" w:lineRule="auto"/>
        <w:rPr>
          <w:rFonts w:cstheme="minorHAnsi"/>
          <w:color w:val="222222"/>
        </w:rPr>
      </w:pPr>
      <w:r w:rsidRPr="004B6308">
        <w:rPr>
          <w:rFonts w:cstheme="minorHAnsi"/>
          <w:color w:val="222222"/>
        </w:rPr>
        <w:t>TB germs may wake up and cause illness in the future</w:t>
      </w:r>
    </w:p>
    <w:p w14:paraId="4B8DCC30" w14:textId="77777777" w:rsidR="002153AE" w:rsidRPr="004B6308" w:rsidRDefault="002153AE" w:rsidP="002153AE">
      <w:pPr>
        <w:pStyle w:val="ListParagraph"/>
        <w:numPr>
          <w:ilvl w:val="1"/>
          <w:numId w:val="6"/>
        </w:numPr>
        <w:autoSpaceDE w:val="0"/>
        <w:autoSpaceDN w:val="0"/>
        <w:adjustRightInd w:val="0"/>
        <w:spacing w:after="0" w:line="240" w:lineRule="auto"/>
        <w:rPr>
          <w:rFonts w:cstheme="minorHAnsi"/>
          <w:color w:val="222222"/>
        </w:rPr>
      </w:pPr>
      <w:r w:rsidRPr="004B6308">
        <w:rPr>
          <w:rFonts w:cstheme="minorHAnsi"/>
          <w:color w:val="222222"/>
        </w:rPr>
        <w:t>The risk of taking medication is less than the risk of not getting treated</w:t>
      </w:r>
    </w:p>
    <w:p w14:paraId="20D02205" w14:textId="6827AE66" w:rsidR="002153AE" w:rsidRPr="00B2436E" w:rsidRDefault="002153AE" w:rsidP="002153AE">
      <w:pPr>
        <w:pStyle w:val="ListParagraph"/>
        <w:numPr>
          <w:ilvl w:val="1"/>
          <w:numId w:val="6"/>
        </w:numPr>
        <w:autoSpaceDE w:val="0"/>
        <w:autoSpaceDN w:val="0"/>
        <w:adjustRightInd w:val="0"/>
        <w:spacing w:after="0" w:line="240" w:lineRule="auto"/>
        <w:rPr>
          <w:rFonts w:cstheme="minorHAnsi"/>
          <w:color w:val="222222"/>
        </w:rPr>
      </w:pPr>
      <w:r w:rsidRPr="004B6308">
        <w:rPr>
          <w:rFonts w:cstheme="minorHAnsi"/>
          <w:color w:val="222222"/>
        </w:rPr>
        <w:t>You should feel normal while taking LTBI medication</w:t>
      </w:r>
    </w:p>
    <w:p w14:paraId="6BB5D7EE" w14:textId="54887516" w:rsidR="002153AE" w:rsidRPr="004B6308" w:rsidRDefault="002153AE" w:rsidP="002153AE">
      <w:pPr>
        <w:pStyle w:val="ListParagraph"/>
        <w:numPr>
          <w:ilvl w:val="0"/>
          <w:numId w:val="6"/>
        </w:numPr>
        <w:spacing w:after="0" w:line="240" w:lineRule="auto"/>
        <w:contextualSpacing w:val="0"/>
        <w:rPr>
          <w:rFonts w:cstheme="minorHAnsi"/>
        </w:rPr>
      </w:pPr>
      <w:r w:rsidRPr="004B6308">
        <w:rPr>
          <w:rFonts w:cstheme="minorHAnsi"/>
          <w:b/>
          <w:bCs/>
          <w:color w:val="222222"/>
        </w:rPr>
        <w:t xml:space="preserve">Take stigma into account. </w:t>
      </w:r>
      <w:r w:rsidRPr="004B6308">
        <w:rPr>
          <w:rFonts w:cstheme="minorHAnsi"/>
          <w:color w:val="222222"/>
        </w:rPr>
        <w:t>Patients from endemic countries may have strong negative</w:t>
      </w:r>
      <w:r>
        <w:rPr>
          <w:rFonts w:cstheme="minorHAnsi"/>
          <w:color w:val="222222"/>
        </w:rPr>
        <w:t xml:space="preserve"> associations with tuberculosis </w:t>
      </w:r>
      <w:r w:rsidRPr="004B6308">
        <w:rPr>
          <w:rFonts w:cstheme="minorHAnsi"/>
          <w:color w:val="222222"/>
        </w:rPr>
        <w:t>disease, which can make it more difficult to consider treatment. Take care to explain LTBI and its treatment in a patient</w:t>
      </w:r>
      <w:r>
        <w:rPr>
          <w:rFonts w:cstheme="minorHAnsi"/>
          <w:color w:val="222222"/>
        </w:rPr>
        <w:t>-</w:t>
      </w:r>
      <w:r w:rsidRPr="004B6308">
        <w:rPr>
          <w:rFonts w:cstheme="minorHAnsi"/>
          <w:color w:val="222222"/>
        </w:rPr>
        <w:t>centered</w:t>
      </w:r>
      <w:r>
        <w:rPr>
          <w:rFonts w:cstheme="minorHAnsi"/>
          <w:color w:val="222222"/>
        </w:rPr>
        <w:t xml:space="preserve"> </w:t>
      </w:r>
      <w:r w:rsidRPr="004B6308">
        <w:rPr>
          <w:rFonts w:cstheme="minorHAnsi"/>
          <w:color w:val="222222"/>
        </w:rPr>
        <w:t>way that minimizes stigma.</w:t>
      </w:r>
      <w:r w:rsidRPr="004B6308">
        <w:rPr>
          <w:rFonts w:cstheme="minorHAnsi"/>
        </w:rPr>
        <w:t xml:space="preserve"> </w:t>
      </w:r>
    </w:p>
    <w:p w14:paraId="4032125A" w14:textId="7AB344F2" w:rsidR="002153AE" w:rsidRPr="004B6308" w:rsidRDefault="002153AE" w:rsidP="002153AE">
      <w:pPr>
        <w:pStyle w:val="ListParagraph"/>
        <w:numPr>
          <w:ilvl w:val="0"/>
          <w:numId w:val="6"/>
        </w:numPr>
        <w:autoSpaceDE w:val="0"/>
        <w:autoSpaceDN w:val="0"/>
        <w:adjustRightInd w:val="0"/>
        <w:spacing w:after="0" w:line="240" w:lineRule="auto"/>
        <w:rPr>
          <w:rFonts w:cstheme="minorHAnsi"/>
          <w:color w:val="222222"/>
        </w:rPr>
      </w:pPr>
      <w:r w:rsidRPr="004B6308">
        <w:rPr>
          <w:rFonts w:cstheme="minorHAnsi"/>
          <w:b/>
          <w:bCs/>
          <w:color w:val="222222"/>
        </w:rPr>
        <w:t xml:space="preserve">In patients with LTBI who choose to defer treatment: provide education about the symptoms of active TB. </w:t>
      </w:r>
      <w:r w:rsidRPr="004B6308">
        <w:rPr>
          <w:rFonts w:cstheme="minorHAnsi"/>
          <w:color w:val="222222"/>
        </w:rPr>
        <w:t xml:space="preserve">They should follow up promptly with any cough &gt; 2 weeks, hemoptysis, fever, night sweats, unintentional weight loss). CXR should of course be repeated if there is clinical concern for disease, but routine repeat CXR is not indicated. If the patient desires treatment in the future, they should have repeat CXR within 2 months prior to starting treatment. </w:t>
      </w:r>
    </w:p>
    <w:p w14:paraId="21112A91" w14:textId="282E0BBA" w:rsidR="002153AE" w:rsidRPr="002153AE" w:rsidRDefault="002153AE" w:rsidP="002153AE">
      <w:pPr>
        <w:pStyle w:val="ListParagraph"/>
        <w:numPr>
          <w:ilvl w:val="0"/>
          <w:numId w:val="6"/>
        </w:numPr>
        <w:spacing w:after="0" w:line="240" w:lineRule="auto"/>
        <w:contextualSpacing w:val="0"/>
        <w:rPr>
          <w:rFonts w:cstheme="minorHAnsi"/>
        </w:rPr>
      </w:pPr>
      <w:r>
        <w:rPr>
          <w:rFonts w:cstheme="minorHAnsi"/>
          <w:b/>
          <w:bCs/>
        </w:rPr>
        <w:t xml:space="preserve">A positive test should generally not be repeated. </w:t>
      </w:r>
      <w:r>
        <w:rPr>
          <w:rFonts w:cstheme="minorHAnsi"/>
          <w:bCs/>
        </w:rPr>
        <w:t xml:space="preserve">The patient presented has a high pre-test probability for LTBI given her country of origin (Ghana) and profession (nurse). A repeated IGRA with discordant results may cause confusion/mistrust. </w:t>
      </w:r>
    </w:p>
    <w:p w14:paraId="06AF14F2" w14:textId="0984A72E" w:rsidR="00C145E6" w:rsidRPr="002153AE" w:rsidRDefault="002153AE" w:rsidP="002153AE">
      <w:pPr>
        <w:pStyle w:val="ListParagraph"/>
        <w:numPr>
          <w:ilvl w:val="0"/>
          <w:numId w:val="6"/>
        </w:numPr>
        <w:spacing w:after="0" w:line="240" w:lineRule="auto"/>
        <w:rPr>
          <w:b/>
        </w:rPr>
      </w:pPr>
      <w:r>
        <w:rPr>
          <w:rFonts w:cstheme="minorHAnsi"/>
          <w:b/>
          <w:bCs/>
        </w:rPr>
        <w:t xml:space="preserve">MA DPH has some excellent patient and provider resources to help foster dialogue and encourage testing/treatment for LTBI; </w:t>
      </w:r>
      <w:r>
        <w:rPr>
          <w:rFonts w:cstheme="minorHAnsi"/>
          <w:bCs/>
        </w:rPr>
        <w:t xml:space="preserve">these are available at </w:t>
      </w:r>
      <w:hyperlink r:id="rId8" w:history="1">
        <w:r>
          <w:rPr>
            <w:rStyle w:val="Hyperlink"/>
            <w:rFonts w:cstheme="minorHAnsi"/>
            <w:bCs/>
          </w:rPr>
          <w:t>https://www.mass.gov/lists/tb-information-for-your-patients-in-english-and-other-languages</w:t>
        </w:r>
      </w:hyperlink>
      <w:r>
        <w:rPr>
          <w:rFonts w:cstheme="minorHAnsi"/>
          <w:bCs/>
        </w:rPr>
        <w:t xml:space="preserve"> </w:t>
      </w:r>
    </w:p>
    <w:p w14:paraId="4F949107" w14:textId="77777777" w:rsidR="002153AE" w:rsidRPr="002153AE" w:rsidRDefault="002153AE" w:rsidP="002153AE">
      <w:pPr>
        <w:pStyle w:val="ListParagraph"/>
        <w:numPr>
          <w:ilvl w:val="0"/>
          <w:numId w:val="6"/>
        </w:numPr>
        <w:spacing w:after="0" w:line="240" w:lineRule="auto"/>
        <w:rPr>
          <w:b/>
        </w:rPr>
      </w:pPr>
      <w:r>
        <w:rPr>
          <w:rFonts w:cstheme="minorHAnsi"/>
          <w:b/>
          <w:bCs/>
        </w:rPr>
        <w:t>Pearls about LTBI in health care workers:</w:t>
      </w:r>
    </w:p>
    <w:p w14:paraId="326F602F" w14:textId="2242038D" w:rsidR="002153AE" w:rsidRPr="002153AE" w:rsidRDefault="002153AE" w:rsidP="002153AE">
      <w:pPr>
        <w:pStyle w:val="ListParagraph"/>
        <w:numPr>
          <w:ilvl w:val="1"/>
          <w:numId w:val="6"/>
        </w:numPr>
        <w:spacing w:after="0" w:line="240" w:lineRule="auto"/>
        <w:rPr>
          <w:b/>
        </w:rPr>
      </w:pPr>
      <w:r>
        <w:rPr>
          <w:rFonts w:cstheme="minorHAnsi"/>
          <w:b/>
          <w:bCs/>
        </w:rPr>
        <w:t>LTBI is not a contraindication to working in a health care setting.</w:t>
      </w:r>
      <w:r>
        <w:rPr>
          <w:rFonts w:cstheme="minorHAnsi"/>
          <w:bCs/>
        </w:rPr>
        <w:t xml:space="preserve"> HCWs with </w:t>
      </w:r>
      <w:r w:rsidRPr="002153AE">
        <w:rPr>
          <w:rFonts w:cstheme="minorHAnsi"/>
          <w:bCs/>
          <w:u w:val="single"/>
        </w:rPr>
        <w:t>active</w:t>
      </w:r>
      <w:r>
        <w:rPr>
          <w:rFonts w:cstheme="minorHAnsi"/>
          <w:bCs/>
        </w:rPr>
        <w:t xml:space="preserve"> TB should stay home until they have been adequately treated; however, LTBI </w:t>
      </w:r>
      <w:proofErr w:type="gramStart"/>
      <w:r>
        <w:rPr>
          <w:rFonts w:cstheme="minorHAnsi"/>
          <w:bCs/>
        </w:rPr>
        <w:t>by definition does</w:t>
      </w:r>
      <w:proofErr w:type="gramEnd"/>
      <w:r>
        <w:rPr>
          <w:rFonts w:cstheme="minorHAnsi"/>
          <w:bCs/>
        </w:rPr>
        <w:t xml:space="preserve"> not pose a risk of infection, and a diagnosis of LTBI should not prevent a HCW from working. All HCWs with LTBI should be counseled to seek prompt care if they develop s/</w:t>
      </w:r>
      <w:proofErr w:type="spellStart"/>
      <w:r>
        <w:rPr>
          <w:rFonts w:cstheme="minorHAnsi"/>
          <w:bCs/>
        </w:rPr>
        <w:t>sx</w:t>
      </w:r>
      <w:proofErr w:type="spellEnd"/>
      <w:r>
        <w:rPr>
          <w:rFonts w:cstheme="minorHAnsi"/>
          <w:bCs/>
        </w:rPr>
        <w:t xml:space="preserve"> of active TB.</w:t>
      </w:r>
    </w:p>
    <w:p w14:paraId="2659532A" w14:textId="0143885D" w:rsidR="00A12A59" w:rsidRPr="00A12A59" w:rsidRDefault="002153AE" w:rsidP="00A12A59">
      <w:pPr>
        <w:pStyle w:val="ListParagraph"/>
        <w:numPr>
          <w:ilvl w:val="1"/>
          <w:numId w:val="6"/>
        </w:numPr>
        <w:spacing w:after="0" w:line="240" w:lineRule="auto"/>
        <w:rPr>
          <w:b/>
        </w:rPr>
      </w:pPr>
      <w:r>
        <w:rPr>
          <w:rFonts w:cstheme="minorHAnsi"/>
          <w:b/>
          <w:bCs/>
        </w:rPr>
        <w:t xml:space="preserve">For HCWs who defer treatment: </w:t>
      </w:r>
      <w:r>
        <w:rPr>
          <w:rFonts w:cstheme="minorHAnsi"/>
          <w:bCs/>
          <w:color w:val="222222"/>
        </w:rPr>
        <w:t>perform a yearly symptom screen. You do not need to repeat a yearly CXR. Please note that some institutions (hospitals, schools, etc.) may have their own protocols, but yearly CXR is not recommended by CDC.</w:t>
      </w:r>
      <w:r w:rsidR="00A12A59">
        <w:t xml:space="preserve"> </w:t>
      </w:r>
    </w:p>
    <w:p w14:paraId="410E4390" w14:textId="427F3D24" w:rsidR="002153AE" w:rsidRPr="002153AE" w:rsidRDefault="002153AE" w:rsidP="002153AE">
      <w:pPr>
        <w:pStyle w:val="ListParagraph"/>
        <w:numPr>
          <w:ilvl w:val="1"/>
          <w:numId w:val="6"/>
        </w:numPr>
        <w:spacing w:after="0" w:line="240" w:lineRule="auto"/>
        <w:rPr>
          <w:b/>
        </w:rPr>
      </w:pPr>
      <w:r>
        <w:rPr>
          <w:rFonts w:cstheme="minorHAnsi"/>
          <w:b/>
          <w:bCs/>
        </w:rPr>
        <w:t xml:space="preserve">BONUS LINKS from Pat Iyer regarding LTBI in health care workers: </w:t>
      </w:r>
    </w:p>
    <w:p w14:paraId="081A41B3" w14:textId="77777777" w:rsidR="002153AE" w:rsidRDefault="00045809" w:rsidP="002153AE">
      <w:pPr>
        <w:pStyle w:val="ListParagraph"/>
        <w:numPr>
          <w:ilvl w:val="2"/>
          <w:numId w:val="6"/>
        </w:numPr>
      </w:pPr>
      <w:hyperlink r:id="rId9" w:history="1">
        <w:r w:rsidR="002153AE">
          <w:rPr>
            <w:rStyle w:val="Hyperlink"/>
          </w:rPr>
          <w:t>https://www.cdc.gov/mmwr/volumes/68/wr/mm6819a3.htm</w:t>
        </w:r>
      </w:hyperlink>
    </w:p>
    <w:p w14:paraId="5BA17BF0" w14:textId="2C7AF70D" w:rsidR="002153AE" w:rsidRPr="002153AE" w:rsidRDefault="00045809" w:rsidP="002153AE">
      <w:pPr>
        <w:pStyle w:val="ListParagraph"/>
        <w:numPr>
          <w:ilvl w:val="2"/>
          <w:numId w:val="6"/>
        </w:numPr>
      </w:pPr>
      <w:hyperlink r:id="rId10" w:history="1">
        <w:r w:rsidR="002153AE">
          <w:rPr>
            <w:rStyle w:val="Hyperlink"/>
          </w:rPr>
          <w:t>https://www.mass.gov/clinical-advisory/recommendations-for-tuberculosis-screening-testing-and-treatment-of-us-health</w:t>
        </w:r>
      </w:hyperlink>
    </w:p>
    <w:sectPr w:rsidR="002153AE" w:rsidRPr="0021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5311"/>
    <w:multiLevelType w:val="hybridMultilevel"/>
    <w:tmpl w:val="009A7932"/>
    <w:lvl w:ilvl="0" w:tplc="D79E766E">
      <w:start w:val="1"/>
      <w:numFmt w:val="decimal"/>
      <w:lvlText w:val="%1."/>
      <w:lvlJc w:val="left"/>
      <w:pPr>
        <w:ind w:left="720" w:hanging="360"/>
      </w:pPr>
      <w:rPr>
        <w:rFonts w:eastAsia="Calibr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6E6B58"/>
    <w:multiLevelType w:val="hybridMultilevel"/>
    <w:tmpl w:val="C97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82D71"/>
    <w:multiLevelType w:val="hybridMultilevel"/>
    <w:tmpl w:val="B0204618"/>
    <w:lvl w:ilvl="0" w:tplc="A9688876">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973BD"/>
    <w:multiLevelType w:val="hybridMultilevel"/>
    <w:tmpl w:val="B17A122E"/>
    <w:lvl w:ilvl="0" w:tplc="E7B0D8C8">
      <w:start w:val="1"/>
      <w:numFmt w:val="decimal"/>
      <w:lvlText w:val="%1."/>
      <w:lvlJc w:val="left"/>
      <w:pPr>
        <w:ind w:left="720" w:hanging="360"/>
      </w:pPr>
      <w:rPr>
        <w:rFonts w:eastAsia="Calibri"/>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EE6793"/>
    <w:multiLevelType w:val="hybridMultilevel"/>
    <w:tmpl w:val="8864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60D84"/>
    <w:multiLevelType w:val="hybridMultilevel"/>
    <w:tmpl w:val="5EC2D47A"/>
    <w:lvl w:ilvl="0" w:tplc="7950823A">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AC"/>
    <w:rsid w:val="00045809"/>
    <w:rsid w:val="001B05BC"/>
    <w:rsid w:val="00214D84"/>
    <w:rsid w:val="002153AE"/>
    <w:rsid w:val="005154EF"/>
    <w:rsid w:val="006A3A60"/>
    <w:rsid w:val="00725266"/>
    <w:rsid w:val="007D0119"/>
    <w:rsid w:val="008C515D"/>
    <w:rsid w:val="00A07B14"/>
    <w:rsid w:val="00A12A59"/>
    <w:rsid w:val="00A535C0"/>
    <w:rsid w:val="00AD5FEB"/>
    <w:rsid w:val="00BB4DB6"/>
    <w:rsid w:val="00C145E6"/>
    <w:rsid w:val="00C278AC"/>
    <w:rsid w:val="00D072D3"/>
    <w:rsid w:val="00F65C15"/>
    <w:rsid w:val="00F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516"/>
  <w15:chartTrackingRefBased/>
  <w15:docId w15:val="{636E63EA-3C71-43C4-82BD-BB18AF23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78AC"/>
    <w:pPr>
      <w:ind w:left="720"/>
      <w:contextualSpacing/>
    </w:pPr>
  </w:style>
  <w:style w:type="character" w:styleId="Hyperlink">
    <w:name w:val="Hyperlink"/>
    <w:basedOn w:val="DefaultParagraphFont"/>
    <w:uiPriority w:val="99"/>
    <w:semiHidden/>
    <w:unhideWhenUsed/>
    <w:rsid w:val="002153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5624">
      <w:bodyDiv w:val="1"/>
      <w:marLeft w:val="0"/>
      <w:marRight w:val="0"/>
      <w:marTop w:val="0"/>
      <w:marBottom w:val="0"/>
      <w:divBdr>
        <w:top w:val="none" w:sz="0" w:space="0" w:color="auto"/>
        <w:left w:val="none" w:sz="0" w:space="0" w:color="auto"/>
        <w:bottom w:val="none" w:sz="0" w:space="0" w:color="auto"/>
        <w:right w:val="none" w:sz="0" w:space="0" w:color="auto"/>
      </w:divBdr>
    </w:div>
    <w:div w:id="383139216">
      <w:bodyDiv w:val="1"/>
      <w:marLeft w:val="0"/>
      <w:marRight w:val="0"/>
      <w:marTop w:val="0"/>
      <w:marBottom w:val="0"/>
      <w:divBdr>
        <w:top w:val="none" w:sz="0" w:space="0" w:color="auto"/>
        <w:left w:val="none" w:sz="0" w:space="0" w:color="auto"/>
        <w:bottom w:val="none" w:sz="0" w:space="0" w:color="auto"/>
        <w:right w:val="none" w:sz="0" w:space="0" w:color="auto"/>
      </w:divBdr>
    </w:div>
    <w:div w:id="522865934">
      <w:bodyDiv w:val="1"/>
      <w:marLeft w:val="0"/>
      <w:marRight w:val="0"/>
      <w:marTop w:val="0"/>
      <w:marBottom w:val="0"/>
      <w:divBdr>
        <w:top w:val="none" w:sz="0" w:space="0" w:color="auto"/>
        <w:left w:val="none" w:sz="0" w:space="0" w:color="auto"/>
        <w:bottom w:val="none" w:sz="0" w:space="0" w:color="auto"/>
        <w:right w:val="none" w:sz="0" w:space="0" w:color="auto"/>
      </w:divBdr>
      <w:divsChild>
        <w:div w:id="584265542">
          <w:marLeft w:val="0"/>
          <w:marRight w:val="0"/>
          <w:marTop w:val="0"/>
          <w:marBottom w:val="0"/>
          <w:divBdr>
            <w:top w:val="none" w:sz="0" w:space="0" w:color="auto"/>
            <w:left w:val="none" w:sz="0" w:space="0" w:color="auto"/>
            <w:bottom w:val="none" w:sz="0" w:space="0" w:color="auto"/>
            <w:right w:val="none" w:sz="0" w:space="0" w:color="auto"/>
          </w:divBdr>
          <w:divsChild>
            <w:div w:id="276497025">
              <w:marLeft w:val="0"/>
              <w:marRight w:val="0"/>
              <w:marTop w:val="0"/>
              <w:marBottom w:val="0"/>
              <w:divBdr>
                <w:top w:val="none" w:sz="0" w:space="0" w:color="auto"/>
                <w:left w:val="none" w:sz="0" w:space="0" w:color="auto"/>
                <w:bottom w:val="none" w:sz="0" w:space="0" w:color="auto"/>
                <w:right w:val="none" w:sz="0" w:space="0" w:color="auto"/>
              </w:divBdr>
              <w:divsChild>
                <w:div w:id="1849130090">
                  <w:marLeft w:val="0"/>
                  <w:marRight w:val="0"/>
                  <w:marTop w:val="120"/>
                  <w:marBottom w:val="0"/>
                  <w:divBdr>
                    <w:top w:val="none" w:sz="0" w:space="0" w:color="auto"/>
                    <w:left w:val="none" w:sz="0" w:space="0" w:color="auto"/>
                    <w:bottom w:val="none" w:sz="0" w:space="0" w:color="auto"/>
                    <w:right w:val="none" w:sz="0" w:space="0" w:color="auto"/>
                  </w:divBdr>
                  <w:divsChild>
                    <w:div w:id="596913495">
                      <w:marLeft w:val="0"/>
                      <w:marRight w:val="0"/>
                      <w:marTop w:val="0"/>
                      <w:marBottom w:val="0"/>
                      <w:divBdr>
                        <w:top w:val="none" w:sz="0" w:space="0" w:color="auto"/>
                        <w:left w:val="none" w:sz="0" w:space="0" w:color="auto"/>
                        <w:bottom w:val="none" w:sz="0" w:space="0" w:color="auto"/>
                        <w:right w:val="none" w:sz="0" w:space="0" w:color="auto"/>
                      </w:divBdr>
                      <w:divsChild>
                        <w:div w:id="1924219666">
                          <w:marLeft w:val="0"/>
                          <w:marRight w:val="0"/>
                          <w:marTop w:val="0"/>
                          <w:marBottom w:val="0"/>
                          <w:divBdr>
                            <w:top w:val="none" w:sz="0" w:space="0" w:color="auto"/>
                            <w:left w:val="none" w:sz="0" w:space="0" w:color="auto"/>
                            <w:bottom w:val="none" w:sz="0" w:space="0" w:color="auto"/>
                            <w:right w:val="none" w:sz="0" w:space="0" w:color="auto"/>
                          </w:divBdr>
                          <w:divsChild>
                            <w:div w:id="1815291456">
                              <w:marLeft w:val="0"/>
                              <w:marRight w:val="0"/>
                              <w:marTop w:val="0"/>
                              <w:marBottom w:val="0"/>
                              <w:divBdr>
                                <w:top w:val="none" w:sz="0" w:space="0" w:color="auto"/>
                                <w:left w:val="none" w:sz="0" w:space="0" w:color="auto"/>
                                <w:bottom w:val="none" w:sz="0" w:space="0" w:color="auto"/>
                                <w:right w:val="none" w:sz="0" w:space="0" w:color="auto"/>
                              </w:divBdr>
                              <w:divsChild>
                                <w:div w:id="1297443567">
                                  <w:marLeft w:val="0"/>
                                  <w:marRight w:val="0"/>
                                  <w:marTop w:val="0"/>
                                  <w:marBottom w:val="0"/>
                                  <w:divBdr>
                                    <w:top w:val="none" w:sz="0" w:space="0" w:color="auto"/>
                                    <w:left w:val="none" w:sz="0" w:space="0" w:color="auto"/>
                                    <w:bottom w:val="none" w:sz="0" w:space="0" w:color="auto"/>
                                    <w:right w:val="none" w:sz="0" w:space="0" w:color="auto"/>
                                  </w:divBdr>
                                  <w:divsChild>
                                    <w:div w:id="1216895801">
                                      <w:marLeft w:val="0"/>
                                      <w:marRight w:val="0"/>
                                      <w:marTop w:val="30"/>
                                      <w:marBottom w:val="0"/>
                                      <w:divBdr>
                                        <w:top w:val="none" w:sz="0" w:space="0" w:color="auto"/>
                                        <w:left w:val="none" w:sz="0" w:space="0" w:color="auto"/>
                                        <w:bottom w:val="none" w:sz="0" w:space="0" w:color="auto"/>
                                        <w:right w:val="none" w:sz="0" w:space="0" w:color="auto"/>
                                      </w:divBdr>
                                      <w:divsChild>
                                        <w:div w:id="13471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tb-information-for-your-patients-in-english-and-other-languag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m12.safelinks.protection.outlook.com/?url=https%3A%2F%2Fwww.mass.gov%2Fclinical-advisory%2Frecommendations-for-tuberculosis-screening-testing-and-treatment-of-us-health&amp;data=04%7C01%7CRebecca.Thal%40fhcw.org%7C3d2be808ec2f43eb30fe08d91bb58777%7C4a0d525195f847f29cadfa94827577f3%7C0%7C0%7C637571288769568486%7CUnknown%7CTWFpbGZsb3d8eyJWIjoiMC4wLjAwMDAiLCJQIjoiV2luMzIiLCJBTiI6Ik1haWwiLCJXVCI6Mn0%3D%7C1000&amp;sdata=JdtDElgo5mvcwRFje%2BLIrSd9Q8riHRfRiAYDZFUVkD0%3D&amp;reserved=0" TargetMode="External"/><Relationship Id="rId4" Type="http://schemas.openxmlformats.org/officeDocument/2006/relationships/numbering" Target="numbering.xml"/><Relationship Id="rId9" Type="http://schemas.openxmlformats.org/officeDocument/2006/relationships/hyperlink" Target="https://nam12.safelinks.protection.outlook.com/?url=https%3A%2F%2Fwww.cdc.gov%2Fmmwr%2Fvolumes%2F68%2Fwr%2Fmm6819a3.htm&amp;data=04%7C01%7CRebecca.Thal%40fhcw.org%7C3d2be808ec2f43eb30fe08d91bb58777%7C4a0d525195f847f29cadfa94827577f3%7C0%7C0%7C637571288769558491%7CUnknown%7CTWFpbGZsb3d8eyJWIjoiMC4wLjAwMDAiLCJQIjoiV2luMzIiLCJBTiI6Ik1haWwiLCJXVCI6Mn0%3D%7C1000&amp;sdata=aFJ9C6X8BafLXAOx%2FUf4fTXoXmCRBSt2T0xaqFv6MZ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9" ma:contentTypeDescription="Create a new document." ma:contentTypeScope="" ma:versionID="ad7ccc189bd73657b5ea025ec678c4a5">
  <xsd:schema xmlns:xsd="http://www.w3.org/2001/XMLSchema" xmlns:xs="http://www.w3.org/2001/XMLSchema" xmlns:p="http://schemas.microsoft.com/office/2006/metadata/properties" xmlns:ns3="94064097-2571-4b59-be25-dd8671d3c47e" targetNamespace="http://schemas.microsoft.com/office/2006/metadata/properties" ma:root="true" ma:fieldsID="218bb3ef00131a34841ff2deae990e6e" ns3:_="">
    <xsd:import namespace="94064097-2571-4b59-be25-dd8671d3c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D379C-0EF2-44C3-B0D8-4DE8004395A8}">
  <ds:schemaRefs>
    <ds:schemaRef ds:uri="http://schemas.microsoft.com/sharepoint/v3/contenttype/forms"/>
  </ds:schemaRefs>
</ds:datastoreItem>
</file>

<file path=customXml/itemProps2.xml><?xml version="1.0" encoding="utf-8"?>
<ds:datastoreItem xmlns:ds="http://schemas.openxmlformats.org/officeDocument/2006/customXml" ds:itemID="{DA9D4D34-8BB4-40D5-B6C1-904B44665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5E536-B244-4025-8EE3-536DB8CA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2021-05-26T16:01:00Z</dcterms:created>
  <dcterms:modified xsi:type="dcterms:W3CDTF">2021-05-26T16:01:00Z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