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83EA" w14:textId="7C59709C" w:rsidR="00A07B14" w:rsidRDefault="008C515D" w:rsidP="00C278AC">
      <w:pPr>
        <w:spacing w:after="0" w:line="240" w:lineRule="auto"/>
        <w:rPr>
          <w:b/>
          <w:u w:val="single"/>
        </w:rPr>
      </w:pPr>
      <w:r w:rsidRPr="008C515D">
        <w:rPr>
          <w:b/>
          <w:u w:val="single"/>
        </w:rPr>
        <w:t xml:space="preserve">MA LTBI ECHO </w:t>
      </w:r>
      <w:r w:rsidR="006A3A60">
        <w:rPr>
          <w:b/>
          <w:u w:val="single"/>
        </w:rPr>
        <w:t xml:space="preserve">Key Take-Home Points, </w:t>
      </w:r>
      <w:r w:rsidR="00DC1EBF">
        <w:rPr>
          <w:b/>
          <w:u w:val="single"/>
        </w:rPr>
        <w:t>6/17</w:t>
      </w:r>
      <w:r w:rsidR="002153AE">
        <w:rPr>
          <w:b/>
          <w:u w:val="single"/>
        </w:rPr>
        <w:t>/21 Session</w:t>
      </w:r>
    </w:p>
    <w:p w14:paraId="790E6A38" w14:textId="4665369D" w:rsidR="00182A11" w:rsidRPr="00182A11" w:rsidRDefault="00182A11" w:rsidP="00DC1EBF">
      <w:pPr>
        <w:pStyle w:val="ListParagraph"/>
        <w:numPr>
          <w:ilvl w:val="0"/>
          <w:numId w:val="7"/>
        </w:numPr>
        <w:spacing w:before="100" w:beforeAutospacing="1" w:after="100" w:afterAutospacing="1" w:line="240" w:lineRule="auto"/>
      </w:pPr>
      <w:r>
        <w:rPr>
          <w:b/>
          <w:bCs/>
        </w:rPr>
        <w:t xml:space="preserve">TB endemic country lists are complicated. </w:t>
      </w:r>
      <w:r>
        <w:t xml:space="preserve">And they are always changing. An easier way to remember who is likely at risk is to screen anyone for LTBI who was </w:t>
      </w:r>
      <w:r w:rsidRPr="00326999">
        <w:rPr>
          <w:u w:val="single"/>
        </w:rPr>
        <w:t>not</w:t>
      </w:r>
      <w:r>
        <w:t xml:space="preserve"> born in the US, Canada, western Europe, northern Europe, Australia, or New Zealand. If you are using a country list, </w:t>
      </w:r>
      <w:r w:rsidR="00326999">
        <w:t xml:space="preserve">you also </w:t>
      </w:r>
      <w:r>
        <w:t xml:space="preserve">need to consider a patient’s potential time of exposure. The patient presented was born in Israel more than 20 years ago. Although Israel might not be considered a TB endemic region currently, it certainly was 20 years ago and the patient should be screened. </w:t>
      </w:r>
    </w:p>
    <w:p w14:paraId="16B0DD28" w14:textId="33ECED44" w:rsidR="00DC1EBF" w:rsidRDefault="00DC1EBF" w:rsidP="00DC1EBF">
      <w:pPr>
        <w:pStyle w:val="ListParagraph"/>
        <w:numPr>
          <w:ilvl w:val="0"/>
          <w:numId w:val="7"/>
        </w:numPr>
        <w:spacing w:before="100" w:beforeAutospacing="1" w:after="100" w:afterAutospacing="1" w:line="240" w:lineRule="auto"/>
      </w:pPr>
      <w:r w:rsidRPr="00EA1884">
        <w:rPr>
          <w:b/>
        </w:rPr>
        <w:t xml:space="preserve">It is not necessary to repeat LTBI screening prior to treatment. </w:t>
      </w:r>
      <w:r>
        <w:t xml:space="preserve">In a patient like this one, with a high pretest probability of a true positive test, it is ok to proceed to treatment after confirming latent infection and ruling out TB disease (positive screening test plus negative CXR). </w:t>
      </w:r>
      <w:r w:rsidR="002600E8">
        <w:t xml:space="preserve">If you would like some additional information about sensitivity and risk of active TB disease progression, check out </w:t>
      </w:r>
      <w:hyperlink r:id="rId8" w:history="1">
        <w:r w:rsidR="002600E8" w:rsidRPr="0076201D">
          <w:rPr>
            <w:rStyle w:val="Hyperlink"/>
          </w:rPr>
          <w:t>http://tstin3d.com/en/calc.html</w:t>
        </w:r>
      </w:hyperlink>
      <w:r w:rsidR="00326999">
        <w:rPr>
          <w:rStyle w:val="Hyperlink"/>
        </w:rPr>
        <w:t>.</w:t>
      </w:r>
      <w:r w:rsidR="002600E8">
        <w:t xml:space="preserve"> </w:t>
      </w:r>
    </w:p>
    <w:p w14:paraId="1A2112E9" w14:textId="77777777" w:rsidR="00DC1EBF" w:rsidRPr="00EA1884" w:rsidRDefault="00DC1EBF" w:rsidP="00DC1EBF">
      <w:pPr>
        <w:pStyle w:val="ListParagraph"/>
        <w:numPr>
          <w:ilvl w:val="0"/>
          <w:numId w:val="7"/>
        </w:numPr>
        <w:spacing w:before="100" w:beforeAutospacing="1" w:after="100" w:afterAutospacing="1" w:line="240" w:lineRule="auto"/>
      </w:pPr>
      <w:r>
        <w:rPr>
          <w:b/>
        </w:rPr>
        <w:t xml:space="preserve">Consider your patient’s pretest probability when making clinical decisions. </w:t>
      </w:r>
      <w:r>
        <w:t>There are select cases in which a false positive IGRA is more likely (e.g. younger persons with HIV) as well as a false positive TST (e.g. younger persons who have received BCG vaccine) and in these cases a repeat test may be indicated if it would change your management.</w:t>
      </w:r>
    </w:p>
    <w:p w14:paraId="6D460E90" w14:textId="23572771" w:rsidR="00DC1EBF" w:rsidRDefault="00DC1EBF" w:rsidP="00326999">
      <w:pPr>
        <w:pStyle w:val="ListParagraph"/>
        <w:numPr>
          <w:ilvl w:val="0"/>
          <w:numId w:val="7"/>
        </w:numPr>
        <w:spacing w:before="100" w:beforeAutospacing="1" w:after="100" w:afterAutospacing="1" w:line="240" w:lineRule="auto"/>
      </w:pPr>
      <w:r>
        <w:rPr>
          <w:b/>
        </w:rPr>
        <w:t xml:space="preserve">It is necessary to obtain CXR within 2 months of starting </w:t>
      </w:r>
      <w:proofErr w:type="spellStart"/>
      <w:r>
        <w:rPr>
          <w:b/>
        </w:rPr>
        <w:t>tx</w:t>
      </w:r>
      <w:proofErr w:type="spellEnd"/>
      <w:r>
        <w:rPr>
          <w:b/>
        </w:rPr>
        <w:t xml:space="preserve">. </w:t>
      </w:r>
      <w:r>
        <w:t>So, if this patient had a CXR done in spring of 2021 after testing positive on the Quant Gold, she will need an additional CXR before fall semester prior to initiating treatment. This is to ensure that we do not inadvertently treat someone who has in fact progressed to active TB.</w:t>
      </w:r>
    </w:p>
    <w:p w14:paraId="33A9A353" w14:textId="77777777" w:rsidR="00DC1EBF" w:rsidRDefault="00DC1EBF" w:rsidP="00DC1EBF">
      <w:pPr>
        <w:pStyle w:val="ListParagraph"/>
        <w:numPr>
          <w:ilvl w:val="0"/>
          <w:numId w:val="7"/>
        </w:numPr>
        <w:spacing w:before="100" w:beforeAutospacing="1" w:after="100" w:afterAutospacing="1" w:line="240" w:lineRule="auto"/>
      </w:pPr>
      <w:r>
        <w:rPr>
          <w:b/>
        </w:rPr>
        <w:t xml:space="preserve">Remember yearly symptom screen for health care workers who elect not to be treated for their LTBI. </w:t>
      </w:r>
      <w:r w:rsidRPr="0082689B">
        <w:t xml:space="preserve">If this patient decides not to be treated, </w:t>
      </w:r>
      <w:r>
        <w:t xml:space="preserve">screen her yearly for symptoms of active TB, and repeat CXR only when (a) she develops symptoms or (b) she decides to be treated. </w:t>
      </w:r>
    </w:p>
    <w:p w14:paraId="42C9F816" w14:textId="3FC83C30" w:rsidR="00182A11" w:rsidRDefault="00182A11" w:rsidP="00DC1EBF">
      <w:pPr>
        <w:pStyle w:val="ListParagraph"/>
        <w:numPr>
          <w:ilvl w:val="0"/>
          <w:numId w:val="7"/>
        </w:numPr>
        <w:spacing w:before="100" w:beforeAutospacing="1" w:after="100" w:afterAutospacing="1" w:line="240" w:lineRule="auto"/>
      </w:pPr>
      <w:r>
        <w:rPr>
          <w:b/>
        </w:rPr>
        <w:t>When screening students</w:t>
      </w:r>
      <w:r>
        <w:rPr>
          <w:bCs/>
        </w:rPr>
        <w:t>: Pat Iyer reminded us that it is often important to ask about volunteer experiences</w:t>
      </w:r>
      <w:r w:rsidR="004C099F">
        <w:rPr>
          <w:bCs/>
        </w:rPr>
        <w:t xml:space="preserve"> particularly with healthcare students</w:t>
      </w:r>
      <w:r w:rsidR="009306E7">
        <w:rPr>
          <w:bCs/>
        </w:rPr>
        <w:t>!</w:t>
      </w:r>
    </w:p>
    <w:p w14:paraId="31638F7F" w14:textId="09FFE0EB" w:rsidR="002600E8" w:rsidRDefault="002600E8" w:rsidP="002600E8">
      <w:pPr>
        <w:spacing w:before="100" w:beforeAutospacing="1" w:after="100" w:afterAutospacing="1" w:line="240" w:lineRule="auto"/>
      </w:pPr>
      <w:r>
        <w:rPr>
          <w:b/>
          <w:bCs/>
        </w:rPr>
        <w:t xml:space="preserve">Chest X-ray reading resources: </w:t>
      </w:r>
      <w:r w:rsidR="00182A11">
        <w:t xml:space="preserve">John Bernardo mentioned the Curry TB Center resources for radiology. They can be found here: </w:t>
      </w:r>
      <w:hyperlink r:id="rId9" w:history="1">
        <w:r w:rsidR="00182A11" w:rsidRPr="0076201D">
          <w:rPr>
            <w:rStyle w:val="Hyperlink"/>
          </w:rPr>
          <w:t>https://www.currytbcenter.ucsf.edu/trainings/tbradiology-resource</w:t>
        </w:r>
      </w:hyperlink>
    </w:p>
    <w:p w14:paraId="6068F266" w14:textId="5ADEB03F" w:rsidR="00877A1C" w:rsidRDefault="00877A1C" w:rsidP="002600E8">
      <w:pPr>
        <w:spacing w:before="100" w:beforeAutospacing="1" w:after="100" w:afterAutospacing="1" w:line="240" w:lineRule="auto"/>
        <w:rPr>
          <w:b/>
          <w:bCs/>
        </w:rPr>
      </w:pPr>
      <w:r>
        <w:rPr>
          <w:b/>
          <w:bCs/>
        </w:rPr>
        <w:t xml:space="preserve">Risk assessment resources: </w:t>
      </w:r>
      <w:hyperlink r:id="rId10" w:anchor="tb-risk-assessment-" w:history="1">
        <w:r w:rsidR="00493A89" w:rsidRPr="00493A89">
          <w:rPr>
            <w:rStyle w:val="Hyperlink"/>
          </w:rPr>
          <w:t>https://www.mass.gov/lists/tuberculosis-information-for-health-care-providers-and-public-health#tb-risk-assessment-</w:t>
        </w:r>
      </w:hyperlink>
    </w:p>
    <w:p w14:paraId="49A5F66E" w14:textId="77777777" w:rsidR="00493A89" w:rsidRPr="00877A1C" w:rsidRDefault="00493A89" w:rsidP="002600E8">
      <w:pPr>
        <w:spacing w:before="100" w:beforeAutospacing="1" w:after="100" w:afterAutospacing="1" w:line="240" w:lineRule="auto"/>
      </w:pPr>
    </w:p>
    <w:p w14:paraId="22BB5FDC" w14:textId="77777777" w:rsidR="00182A11" w:rsidRDefault="00182A11" w:rsidP="002600E8">
      <w:pPr>
        <w:spacing w:before="100" w:beforeAutospacing="1" w:after="100" w:afterAutospacing="1" w:line="240" w:lineRule="auto"/>
      </w:pPr>
    </w:p>
    <w:p w14:paraId="38644095" w14:textId="77777777" w:rsidR="00182A11" w:rsidRPr="00182A11" w:rsidRDefault="00182A11" w:rsidP="002600E8">
      <w:pPr>
        <w:spacing w:before="100" w:beforeAutospacing="1" w:after="100" w:afterAutospacing="1" w:line="240" w:lineRule="auto"/>
      </w:pPr>
    </w:p>
    <w:p w14:paraId="5BA17BF0" w14:textId="0E420B1C" w:rsidR="002153AE" w:rsidRPr="002153AE" w:rsidRDefault="002153AE" w:rsidP="00DC1EBF">
      <w:pPr>
        <w:shd w:val="clear" w:color="auto" w:fill="FFFFFF"/>
        <w:spacing w:before="200" w:line="176" w:lineRule="atLeast"/>
      </w:pPr>
    </w:p>
    <w:sectPr w:rsidR="002153AE" w:rsidRPr="0021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2D72"/>
    <w:multiLevelType w:val="hybridMultilevel"/>
    <w:tmpl w:val="5D422C6C"/>
    <w:lvl w:ilvl="0" w:tplc="48DC8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85311"/>
    <w:multiLevelType w:val="hybridMultilevel"/>
    <w:tmpl w:val="009A7932"/>
    <w:lvl w:ilvl="0" w:tplc="D79E766E">
      <w:start w:val="1"/>
      <w:numFmt w:val="decimal"/>
      <w:lvlText w:val="%1."/>
      <w:lvlJc w:val="left"/>
      <w:pPr>
        <w:ind w:left="720" w:hanging="360"/>
      </w:pPr>
      <w:rPr>
        <w:rFonts w:eastAsia="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6E6B58"/>
    <w:multiLevelType w:val="hybridMultilevel"/>
    <w:tmpl w:val="C97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82D71"/>
    <w:multiLevelType w:val="hybridMultilevel"/>
    <w:tmpl w:val="B0204618"/>
    <w:lvl w:ilvl="0" w:tplc="A9688876">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973BD"/>
    <w:multiLevelType w:val="hybridMultilevel"/>
    <w:tmpl w:val="B17A122E"/>
    <w:lvl w:ilvl="0" w:tplc="E7B0D8C8">
      <w:start w:val="1"/>
      <w:numFmt w:val="decimal"/>
      <w:lvlText w:val="%1."/>
      <w:lvlJc w:val="left"/>
      <w:pPr>
        <w:ind w:left="720" w:hanging="360"/>
      </w:pPr>
      <w:rPr>
        <w:rFonts w:eastAsia="Calibri"/>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EE6793"/>
    <w:multiLevelType w:val="hybridMultilevel"/>
    <w:tmpl w:val="8864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0D84"/>
    <w:multiLevelType w:val="hybridMultilevel"/>
    <w:tmpl w:val="5EC2D47A"/>
    <w:lvl w:ilvl="0" w:tplc="7950823A">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AC"/>
    <w:rsid w:val="00182A11"/>
    <w:rsid w:val="001B05BC"/>
    <w:rsid w:val="00214D84"/>
    <w:rsid w:val="002153AE"/>
    <w:rsid w:val="002600E8"/>
    <w:rsid w:val="00326999"/>
    <w:rsid w:val="003C7CC3"/>
    <w:rsid w:val="00493A89"/>
    <w:rsid w:val="004C099F"/>
    <w:rsid w:val="005154EF"/>
    <w:rsid w:val="006A3A60"/>
    <w:rsid w:val="00725266"/>
    <w:rsid w:val="007D0119"/>
    <w:rsid w:val="00877A1C"/>
    <w:rsid w:val="008C515D"/>
    <w:rsid w:val="009306E7"/>
    <w:rsid w:val="00A07B14"/>
    <w:rsid w:val="00A12A59"/>
    <w:rsid w:val="00A535C0"/>
    <w:rsid w:val="00AD5FEB"/>
    <w:rsid w:val="00BB4DB6"/>
    <w:rsid w:val="00C145E6"/>
    <w:rsid w:val="00C278AC"/>
    <w:rsid w:val="00CB77C6"/>
    <w:rsid w:val="00D072D3"/>
    <w:rsid w:val="00DC1EBF"/>
    <w:rsid w:val="00F65C15"/>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516"/>
  <w15:chartTrackingRefBased/>
  <w15:docId w15:val="{636E63EA-3C71-43C4-82BD-BB18AF23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78AC"/>
    <w:pPr>
      <w:ind w:left="720"/>
      <w:contextualSpacing/>
    </w:pPr>
  </w:style>
  <w:style w:type="character" w:styleId="Hyperlink">
    <w:name w:val="Hyperlink"/>
    <w:basedOn w:val="DefaultParagraphFont"/>
    <w:uiPriority w:val="99"/>
    <w:unhideWhenUsed/>
    <w:rsid w:val="002153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5624">
      <w:bodyDiv w:val="1"/>
      <w:marLeft w:val="0"/>
      <w:marRight w:val="0"/>
      <w:marTop w:val="0"/>
      <w:marBottom w:val="0"/>
      <w:divBdr>
        <w:top w:val="none" w:sz="0" w:space="0" w:color="auto"/>
        <w:left w:val="none" w:sz="0" w:space="0" w:color="auto"/>
        <w:bottom w:val="none" w:sz="0" w:space="0" w:color="auto"/>
        <w:right w:val="none" w:sz="0" w:space="0" w:color="auto"/>
      </w:divBdr>
    </w:div>
    <w:div w:id="383139216">
      <w:bodyDiv w:val="1"/>
      <w:marLeft w:val="0"/>
      <w:marRight w:val="0"/>
      <w:marTop w:val="0"/>
      <w:marBottom w:val="0"/>
      <w:divBdr>
        <w:top w:val="none" w:sz="0" w:space="0" w:color="auto"/>
        <w:left w:val="none" w:sz="0" w:space="0" w:color="auto"/>
        <w:bottom w:val="none" w:sz="0" w:space="0" w:color="auto"/>
        <w:right w:val="none" w:sz="0" w:space="0" w:color="auto"/>
      </w:divBdr>
    </w:div>
    <w:div w:id="522865934">
      <w:bodyDiv w:val="1"/>
      <w:marLeft w:val="0"/>
      <w:marRight w:val="0"/>
      <w:marTop w:val="0"/>
      <w:marBottom w:val="0"/>
      <w:divBdr>
        <w:top w:val="none" w:sz="0" w:space="0" w:color="auto"/>
        <w:left w:val="none" w:sz="0" w:space="0" w:color="auto"/>
        <w:bottom w:val="none" w:sz="0" w:space="0" w:color="auto"/>
        <w:right w:val="none" w:sz="0" w:space="0" w:color="auto"/>
      </w:divBdr>
      <w:divsChild>
        <w:div w:id="584265542">
          <w:marLeft w:val="0"/>
          <w:marRight w:val="0"/>
          <w:marTop w:val="0"/>
          <w:marBottom w:val="0"/>
          <w:divBdr>
            <w:top w:val="none" w:sz="0" w:space="0" w:color="auto"/>
            <w:left w:val="none" w:sz="0" w:space="0" w:color="auto"/>
            <w:bottom w:val="none" w:sz="0" w:space="0" w:color="auto"/>
            <w:right w:val="none" w:sz="0" w:space="0" w:color="auto"/>
          </w:divBdr>
          <w:divsChild>
            <w:div w:id="276497025">
              <w:marLeft w:val="0"/>
              <w:marRight w:val="0"/>
              <w:marTop w:val="0"/>
              <w:marBottom w:val="0"/>
              <w:divBdr>
                <w:top w:val="none" w:sz="0" w:space="0" w:color="auto"/>
                <w:left w:val="none" w:sz="0" w:space="0" w:color="auto"/>
                <w:bottom w:val="none" w:sz="0" w:space="0" w:color="auto"/>
                <w:right w:val="none" w:sz="0" w:space="0" w:color="auto"/>
              </w:divBdr>
              <w:divsChild>
                <w:div w:id="1849130090">
                  <w:marLeft w:val="0"/>
                  <w:marRight w:val="0"/>
                  <w:marTop w:val="120"/>
                  <w:marBottom w:val="0"/>
                  <w:divBdr>
                    <w:top w:val="none" w:sz="0" w:space="0" w:color="auto"/>
                    <w:left w:val="none" w:sz="0" w:space="0" w:color="auto"/>
                    <w:bottom w:val="none" w:sz="0" w:space="0" w:color="auto"/>
                    <w:right w:val="none" w:sz="0" w:space="0" w:color="auto"/>
                  </w:divBdr>
                  <w:divsChild>
                    <w:div w:id="596913495">
                      <w:marLeft w:val="0"/>
                      <w:marRight w:val="0"/>
                      <w:marTop w:val="0"/>
                      <w:marBottom w:val="0"/>
                      <w:divBdr>
                        <w:top w:val="none" w:sz="0" w:space="0" w:color="auto"/>
                        <w:left w:val="none" w:sz="0" w:space="0" w:color="auto"/>
                        <w:bottom w:val="none" w:sz="0" w:space="0" w:color="auto"/>
                        <w:right w:val="none" w:sz="0" w:space="0" w:color="auto"/>
                      </w:divBdr>
                      <w:divsChild>
                        <w:div w:id="1924219666">
                          <w:marLeft w:val="0"/>
                          <w:marRight w:val="0"/>
                          <w:marTop w:val="0"/>
                          <w:marBottom w:val="0"/>
                          <w:divBdr>
                            <w:top w:val="none" w:sz="0" w:space="0" w:color="auto"/>
                            <w:left w:val="none" w:sz="0" w:space="0" w:color="auto"/>
                            <w:bottom w:val="none" w:sz="0" w:space="0" w:color="auto"/>
                            <w:right w:val="none" w:sz="0" w:space="0" w:color="auto"/>
                          </w:divBdr>
                          <w:divsChild>
                            <w:div w:id="1815291456">
                              <w:marLeft w:val="0"/>
                              <w:marRight w:val="0"/>
                              <w:marTop w:val="0"/>
                              <w:marBottom w:val="0"/>
                              <w:divBdr>
                                <w:top w:val="none" w:sz="0" w:space="0" w:color="auto"/>
                                <w:left w:val="none" w:sz="0" w:space="0" w:color="auto"/>
                                <w:bottom w:val="none" w:sz="0" w:space="0" w:color="auto"/>
                                <w:right w:val="none" w:sz="0" w:space="0" w:color="auto"/>
                              </w:divBdr>
                              <w:divsChild>
                                <w:div w:id="1297443567">
                                  <w:marLeft w:val="0"/>
                                  <w:marRight w:val="0"/>
                                  <w:marTop w:val="0"/>
                                  <w:marBottom w:val="0"/>
                                  <w:divBdr>
                                    <w:top w:val="none" w:sz="0" w:space="0" w:color="auto"/>
                                    <w:left w:val="none" w:sz="0" w:space="0" w:color="auto"/>
                                    <w:bottom w:val="none" w:sz="0" w:space="0" w:color="auto"/>
                                    <w:right w:val="none" w:sz="0" w:space="0" w:color="auto"/>
                                  </w:divBdr>
                                  <w:divsChild>
                                    <w:div w:id="1216895801">
                                      <w:marLeft w:val="0"/>
                                      <w:marRight w:val="0"/>
                                      <w:marTop w:val="30"/>
                                      <w:marBottom w:val="0"/>
                                      <w:divBdr>
                                        <w:top w:val="none" w:sz="0" w:space="0" w:color="auto"/>
                                        <w:left w:val="none" w:sz="0" w:space="0" w:color="auto"/>
                                        <w:bottom w:val="none" w:sz="0" w:space="0" w:color="auto"/>
                                        <w:right w:val="none" w:sz="0" w:space="0" w:color="auto"/>
                                      </w:divBdr>
                                      <w:divsChild>
                                        <w:div w:id="13471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tin3d.com/en/calc.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ss.gov/lists/tuberculosis-information-for-health-care-providers-and-public-health" TargetMode="External"/><Relationship Id="rId4" Type="http://schemas.openxmlformats.org/officeDocument/2006/relationships/numbering" Target="numbering.xml"/><Relationship Id="rId9" Type="http://schemas.openxmlformats.org/officeDocument/2006/relationships/hyperlink" Target="https://www.currytbcenter.ucsf.edu/trainings/tbradiology-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9" ma:contentTypeDescription="Create a new document." ma:contentTypeScope="" ma:versionID="ad7ccc189bd73657b5ea025ec678c4a5">
  <xsd:schema xmlns:xsd="http://www.w3.org/2001/XMLSchema" xmlns:xs="http://www.w3.org/2001/XMLSchema" xmlns:p="http://schemas.microsoft.com/office/2006/metadata/properties" xmlns:ns3="94064097-2571-4b59-be25-dd8671d3c47e" targetNamespace="http://schemas.microsoft.com/office/2006/metadata/properties" ma:root="true" ma:fieldsID="218bb3ef00131a34841ff2deae990e6e"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D379C-0EF2-44C3-B0D8-4DE8004395A8}">
  <ds:schemaRefs>
    <ds:schemaRef ds:uri="http://schemas.microsoft.com/sharepoint/v3/contenttype/forms"/>
  </ds:schemaRefs>
</ds:datastoreItem>
</file>

<file path=customXml/itemProps2.xml><?xml version="1.0" encoding="utf-8"?>
<ds:datastoreItem xmlns:ds="http://schemas.openxmlformats.org/officeDocument/2006/customXml" ds:itemID="{DA9D4D34-8BB4-40D5-B6C1-904B44665B69}">
  <ds:schemaRefs>
    <ds:schemaRef ds:uri="http://purl.org/dc/elements/1.1/"/>
    <ds:schemaRef ds:uri="http://schemas.openxmlformats.org/package/2006/metadata/core-properties"/>
    <ds:schemaRef ds:uri="94064097-2571-4b59-be25-dd8671d3c47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D5E536-B244-4025-8EE3-536DB8CA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2355</Characters>
  <Application>Microsoft Office Word</Application>
  <DocSecurity>4</DocSecurity>
  <Lines>181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2021-06-25T19:00:00Z</dcterms:created>
  <dcterms:modified xsi:type="dcterms:W3CDTF">2021-06-25T19:00:00Z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