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183EA" w14:textId="15393D54" w:rsidR="00A07B14" w:rsidRPr="00C247B4" w:rsidRDefault="008C515D" w:rsidP="003976A2">
      <w:pPr>
        <w:spacing w:after="0" w:line="240" w:lineRule="auto"/>
        <w:jc w:val="center"/>
        <w:rPr>
          <w:rFonts w:ascii="Arial" w:hAnsi="Arial" w:cs="Arial"/>
          <w:b/>
          <w:u w:val="single"/>
        </w:rPr>
      </w:pPr>
      <w:r w:rsidRPr="00C247B4">
        <w:rPr>
          <w:rFonts w:ascii="Arial" w:hAnsi="Arial" w:cs="Arial"/>
          <w:b/>
          <w:u w:val="single"/>
        </w:rPr>
        <w:t xml:space="preserve">MA LTBI ECHO </w:t>
      </w:r>
      <w:r w:rsidR="006A3A60" w:rsidRPr="00C247B4">
        <w:rPr>
          <w:rFonts w:ascii="Arial" w:hAnsi="Arial" w:cs="Arial"/>
          <w:b/>
          <w:u w:val="single"/>
        </w:rPr>
        <w:t>Key Take-Home Points, Session #</w:t>
      </w:r>
      <w:r w:rsidR="00BE72E1" w:rsidRPr="00C247B4">
        <w:rPr>
          <w:rFonts w:ascii="Arial" w:hAnsi="Arial" w:cs="Arial"/>
          <w:b/>
          <w:u w:val="single"/>
        </w:rPr>
        <w:t>6 3/18/21</w:t>
      </w:r>
    </w:p>
    <w:p w14:paraId="2315F39D" w14:textId="77777777" w:rsidR="00346CCB" w:rsidRPr="00C247B4" w:rsidRDefault="00346CCB" w:rsidP="00346CCB">
      <w:pPr>
        <w:rPr>
          <w:rFonts w:ascii="Arial" w:hAnsi="Arial" w:cs="Arial"/>
          <w:b/>
          <w:bCs/>
          <w:color w:val="222222"/>
        </w:rPr>
      </w:pPr>
    </w:p>
    <w:p w14:paraId="298618A5" w14:textId="17171BC8" w:rsidR="0095745E" w:rsidRPr="00C247B4" w:rsidRDefault="0095745E" w:rsidP="00346CCB">
      <w:pPr>
        <w:rPr>
          <w:rFonts w:ascii="Arial" w:hAnsi="Arial" w:cs="Arial"/>
          <w:color w:val="222222"/>
        </w:rPr>
      </w:pPr>
      <w:r w:rsidRPr="00C247B4">
        <w:rPr>
          <w:rFonts w:ascii="Arial" w:hAnsi="Arial" w:cs="Arial"/>
          <w:color w:val="222222"/>
        </w:rPr>
        <w:t xml:space="preserve">The patient presented was a </w:t>
      </w:r>
      <w:r w:rsidRPr="00C247B4">
        <w:rPr>
          <w:rFonts w:ascii="Arial" w:hAnsi="Arial" w:cs="Arial"/>
        </w:rPr>
        <w:t xml:space="preserve">71yo female with type 2 DM, HTN, HLD, rheumatoid arthritis, CKD, and non-alcoholic fatty liver disease who had conflicting </w:t>
      </w:r>
      <w:proofErr w:type="spellStart"/>
      <w:r w:rsidRPr="00C247B4">
        <w:rPr>
          <w:rFonts w:ascii="Arial" w:hAnsi="Arial" w:cs="Arial"/>
        </w:rPr>
        <w:t>quantiferon</w:t>
      </w:r>
      <w:proofErr w:type="spellEnd"/>
      <w:r w:rsidRPr="00C247B4">
        <w:rPr>
          <w:rFonts w:ascii="Arial" w:hAnsi="Arial" w:cs="Arial"/>
        </w:rPr>
        <w:t xml:space="preserve"> results and had history of possible close contact to active TB disease in childhood. She is on chronic steroids for RA and wants to start a DMARD. Rheum won't start it until her LTBI is treated.</w:t>
      </w:r>
    </w:p>
    <w:p w14:paraId="76FA2B5D" w14:textId="77777777" w:rsidR="00F4077F" w:rsidRPr="00C247B4" w:rsidRDefault="0095745E" w:rsidP="00F4077F">
      <w:pPr>
        <w:pStyle w:val="ListParagraph"/>
        <w:numPr>
          <w:ilvl w:val="0"/>
          <w:numId w:val="5"/>
        </w:numPr>
        <w:rPr>
          <w:rFonts w:ascii="Arial" w:hAnsi="Arial" w:cs="Arial"/>
          <w:b/>
        </w:rPr>
      </w:pPr>
      <w:r w:rsidRPr="00C247B4">
        <w:rPr>
          <w:rFonts w:ascii="Arial" w:hAnsi="Arial" w:cs="Arial"/>
          <w:b/>
        </w:rPr>
        <w:t>TB contact:</w:t>
      </w:r>
      <w:r w:rsidRPr="00C247B4">
        <w:rPr>
          <w:rFonts w:ascii="Arial" w:hAnsi="Arial" w:cs="Arial"/>
        </w:rPr>
        <w:t xml:space="preserve"> In addition to her high risk of LTBI reactivation, patient also has a history of possible active TB contact, which increases the likelihood that her positive Quant Gold is a true positive. Pat Iyer reviewed what we can ask TB contacts. It is important to consider remote vs. current contact history. For this patient, her potential exposure occurred in childhood so it w</w:t>
      </w:r>
      <w:r w:rsidR="00F4077F" w:rsidRPr="00C247B4">
        <w:rPr>
          <w:rFonts w:ascii="Arial" w:hAnsi="Arial" w:cs="Arial"/>
        </w:rPr>
        <w:t>ould be difficult for the patient to recall exact details. However, questions to consider include asking about family, friends, schoolmates having TB or ‘lung infection’, asking about visitors. In more recent or current exposures, it could be helpful to ask about surveillance/treatment that may have happened after the time—e.g. if anyone ever came to their house to ask questions after she had contact and was she ever started on treatment after exposure. </w:t>
      </w:r>
      <w:r w:rsidR="00F4077F" w:rsidRPr="00C247B4">
        <w:rPr>
          <w:rFonts w:ascii="Arial" w:hAnsi="Arial" w:cs="Arial"/>
          <w:b/>
        </w:rPr>
        <w:t xml:space="preserve"> </w:t>
      </w:r>
    </w:p>
    <w:p w14:paraId="7A075C69" w14:textId="2ABBE82C" w:rsidR="00C247B4" w:rsidRDefault="00C247B4" w:rsidP="00346CCB">
      <w:pPr>
        <w:pStyle w:val="ListParagraph"/>
        <w:numPr>
          <w:ilvl w:val="0"/>
          <w:numId w:val="5"/>
        </w:numPr>
        <w:rPr>
          <w:rFonts w:ascii="Arial" w:hAnsi="Arial" w:cs="Arial"/>
          <w:b/>
        </w:rPr>
      </w:pPr>
      <w:r>
        <w:rPr>
          <w:rFonts w:ascii="Arial" w:hAnsi="Arial" w:cs="Arial"/>
          <w:b/>
        </w:rPr>
        <w:t xml:space="preserve">Determining risk based on place of origin: </w:t>
      </w:r>
      <w:r>
        <w:rPr>
          <w:rFonts w:ascii="Arial" w:hAnsi="Arial" w:cs="Arial"/>
        </w:rPr>
        <w:t xml:space="preserve">This patient is from Puerto Rico; we discussed that at present, Puerto Rico is not considered to be an endemic area for TB (incidence is less than 3 per 100,000 and is less than MA incidence). We reviewed that there is some “gray area” for patients who were born or lived in Puerto Rico longer ago (for example, prior to the 1980s), but that in general it is not recommended to screen patients from Puerto Rico in the absence of other risk factors. </w:t>
      </w:r>
    </w:p>
    <w:p w14:paraId="35B01C36" w14:textId="0AFF2A53" w:rsidR="00F4077F" w:rsidRPr="00C247B4" w:rsidRDefault="00346CCB" w:rsidP="00346CCB">
      <w:pPr>
        <w:pStyle w:val="ListParagraph"/>
        <w:numPr>
          <w:ilvl w:val="0"/>
          <w:numId w:val="5"/>
        </w:numPr>
        <w:rPr>
          <w:rFonts w:ascii="Arial" w:hAnsi="Arial" w:cs="Arial"/>
          <w:b/>
        </w:rPr>
      </w:pPr>
      <w:r w:rsidRPr="00C247B4">
        <w:rPr>
          <w:rFonts w:ascii="Arial" w:hAnsi="Arial" w:cs="Arial"/>
          <w:b/>
        </w:rPr>
        <w:t xml:space="preserve">Conflicting </w:t>
      </w:r>
      <w:proofErr w:type="spellStart"/>
      <w:r w:rsidRPr="00C247B4">
        <w:rPr>
          <w:rFonts w:ascii="Arial" w:hAnsi="Arial" w:cs="Arial"/>
          <w:b/>
        </w:rPr>
        <w:t>quantiferon</w:t>
      </w:r>
      <w:proofErr w:type="spellEnd"/>
      <w:r w:rsidRPr="00C247B4">
        <w:rPr>
          <w:rFonts w:ascii="Arial" w:hAnsi="Arial" w:cs="Arial"/>
          <w:b/>
        </w:rPr>
        <w:t xml:space="preserve"> results:</w:t>
      </w:r>
      <w:r w:rsidRPr="00C247B4">
        <w:rPr>
          <w:rFonts w:ascii="Arial" w:hAnsi="Arial" w:cs="Arial"/>
        </w:rPr>
        <w:t>  Given her many chronic medical problems</w:t>
      </w:r>
      <w:r w:rsidR="00F4077F" w:rsidRPr="00C247B4">
        <w:rPr>
          <w:rFonts w:ascii="Arial" w:hAnsi="Arial" w:cs="Arial"/>
        </w:rPr>
        <w:t xml:space="preserve"> (uncontrolled DM, RA, CKD)</w:t>
      </w:r>
      <w:r w:rsidRPr="00C247B4">
        <w:rPr>
          <w:rFonts w:ascii="Arial" w:hAnsi="Arial" w:cs="Arial"/>
        </w:rPr>
        <w:t xml:space="preserve"> and steroid use, her immunosuppression may be impacting the results. With her contact history and her risk of progression to TB disease with starting a DMARD, benefits of treating her</w:t>
      </w:r>
      <w:r w:rsidR="00F4077F" w:rsidRPr="00C247B4">
        <w:rPr>
          <w:rFonts w:ascii="Arial" w:hAnsi="Arial" w:cs="Arial"/>
        </w:rPr>
        <w:t>e</w:t>
      </w:r>
      <w:r w:rsidRPr="00C247B4">
        <w:rPr>
          <w:rFonts w:ascii="Arial" w:hAnsi="Arial" w:cs="Arial"/>
        </w:rPr>
        <w:t xml:space="preserve"> would outweigh the risks. Storage and lab handling issues can</w:t>
      </w:r>
      <w:r w:rsidR="00F4077F" w:rsidRPr="00C247B4">
        <w:rPr>
          <w:rFonts w:ascii="Arial" w:hAnsi="Arial" w:cs="Arial"/>
        </w:rPr>
        <w:t xml:space="preserve"> impact validity of Quant Gold. Interestingly, the second test was done by rheum while the first and third tests were done at the health center. John Bernardo reminded us that there are more than 100 steps to do a </w:t>
      </w:r>
      <w:proofErr w:type="spellStart"/>
      <w:r w:rsidR="00F4077F" w:rsidRPr="00C247B4">
        <w:rPr>
          <w:rFonts w:ascii="Arial" w:hAnsi="Arial" w:cs="Arial"/>
        </w:rPr>
        <w:t>quantiferon</w:t>
      </w:r>
      <w:proofErr w:type="spellEnd"/>
      <w:r w:rsidR="00F4077F" w:rsidRPr="00C247B4">
        <w:rPr>
          <w:rFonts w:ascii="Arial" w:hAnsi="Arial" w:cs="Arial"/>
        </w:rPr>
        <w:t xml:space="preserve"> and it is possible that improper handling could be an issue here. Some participants suggested ordering a PPD – always remember, a decision to test is a decision to think! A positive or negative PPD result would not change your management since her risk of progression to active TB disease and her risk of true infection with her contact history are too high to opt for no treatment. </w:t>
      </w:r>
    </w:p>
    <w:p w14:paraId="466CC3C1" w14:textId="334E102B" w:rsidR="00346CCB" w:rsidRPr="00C247B4" w:rsidRDefault="00346CCB" w:rsidP="00346CCB">
      <w:pPr>
        <w:pStyle w:val="ListParagraph"/>
        <w:numPr>
          <w:ilvl w:val="0"/>
          <w:numId w:val="5"/>
        </w:numPr>
        <w:rPr>
          <w:rFonts w:ascii="Arial" w:hAnsi="Arial" w:cs="Arial"/>
          <w:b/>
        </w:rPr>
      </w:pPr>
      <w:r w:rsidRPr="00C247B4">
        <w:rPr>
          <w:rFonts w:ascii="Arial" w:hAnsi="Arial" w:cs="Arial"/>
          <w:b/>
        </w:rPr>
        <w:t>Treatment:</w:t>
      </w:r>
      <w:r w:rsidRPr="00C247B4">
        <w:rPr>
          <w:rFonts w:ascii="Arial" w:hAnsi="Arial" w:cs="Arial"/>
        </w:rPr>
        <w:t xml:space="preserve"> Pt has known fatty liver disease and recent AST/ALT were normal. Regarding a treatment regimen, rifampin would be a good choice since she really wants to start a DMARD asap and</w:t>
      </w:r>
      <w:r w:rsidR="00F4077F" w:rsidRPr="00C247B4">
        <w:rPr>
          <w:rFonts w:ascii="Arial" w:hAnsi="Arial" w:cs="Arial"/>
        </w:rPr>
        <w:t xml:space="preserve"> less risk of hepatotoxicity (patient also preferred</w:t>
      </w:r>
      <w:r w:rsidRPr="00C247B4">
        <w:rPr>
          <w:rFonts w:ascii="Arial" w:hAnsi="Arial" w:cs="Arial"/>
        </w:rPr>
        <w:t xml:space="preserve"> this). She is 71yo so the carcinogenic risk of nitrosamine might not be as great a concern. She is on MANY meds </w:t>
      </w:r>
      <w:r w:rsidR="00F4077F" w:rsidRPr="00C247B4">
        <w:rPr>
          <w:rFonts w:ascii="Arial" w:hAnsi="Arial" w:cs="Arial"/>
        </w:rPr>
        <w:t>and it is always important to remember that rifampin interacts with many medications.</w:t>
      </w:r>
      <w:r w:rsidR="00F4077F" w:rsidRPr="00C247B4">
        <w:rPr>
          <w:rFonts w:ascii="Arial" w:hAnsi="Arial" w:cs="Arial"/>
          <w:b/>
        </w:rPr>
        <w:t xml:space="preserve"> </w:t>
      </w:r>
      <w:r w:rsidR="00F4077F" w:rsidRPr="00C247B4">
        <w:rPr>
          <w:rFonts w:ascii="Arial" w:hAnsi="Arial" w:cs="Arial"/>
          <w:bCs/>
        </w:rPr>
        <w:t>If there are concerns regarding drug/drug interactions</w:t>
      </w:r>
      <w:r w:rsidR="00C247B4">
        <w:rPr>
          <w:rFonts w:ascii="Arial" w:hAnsi="Arial" w:cs="Arial"/>
          <w:bCs/>
        </w:rPr>
        <w:t xml:space="preserve"> that cannot be easily resolved (e.g. substituting another statin for her atorvastatin, which interacts with RIF)</w:t>
      </w:r>
      <w:r w:rsidR="00F4077F" w:rsidRPr="00C247B4">
        <w:rPr>
          <w:rFonts w:ascii="Arial" w:hAnsi="Arial" w:cs="Arial"/>
          <w:bCs/>
        </w:rPr>
        <w:t>,</w:t>
      </w:r>
      <w:r w:rsidR="00C247B4">
        <w:rPr>
          <w:rFonts w:ascii="Arial" w:hAnsi="Arial" w:cs="Arial"/>
          <w:bCs/>
        </w:rPr>
        <w:t xml:space="preserve"> then</w:t>
      </w:r>
      <w:r w:rsidR="00F4077F" w:rsidRPr="00C247B4">
        <w:rPr>
          <w:rFonts w:ascii="Arial" w:hAnsi="Arial" w:cs="Arial"/>
          <w:bCs/>
        </w:rPr>
        <w:t xml:space="preserve"> isoniazid would be the better choice. Shared decision making in this case by the PCP who knew the patient very well was key to select a regimen that worked best for this patient.</w:t>
      </w:r>
    </w:p>
    <w:p w14:paraId="0CC5DC65" w14:textId="5C2B2135" w:rsidR="00F4077F" w:rsidRPr="00C247B4" w:rsidRDefault="00F4077F" w:rsidP="00346CCB">
      <w:pPr>
        <w:pStyle w:val="ListParagraph"/>
        <w:numPr>
          <w:ilvl w:val="0"/>
          <w:numId w:val="5"/>
        </w:numPr>
        <w:rPr>
          <w:rFonts w:ascii="Arial" w:hAnsi="Arial" w:cs="Arial"/>
          <w:b/>
        </w:rPr>
      </w:pPr>
      <w:r w:rsidRPr="00C247B4">
        <w:rPr>
          <w:rFonts w:ascii="Arial" w:hAnsi="Arial" w:cs="Arial"/>
          <w:b/>
        </w:rPr>
        <w:t>Rifampin side effects:</w:t>
      </w:r>
      <w:r w:rsidRPr="00C247B4">
        <w:rPr>
          <w:rFonts w:ascii="Arial" w:hAnsi="Arial" w:cs="Arial"/>
          <w:bCs/>
        </w:rPr>
        <w:t xml:space="preserve"> Rifampin can worsen the side effects of metformin. In this case we learned that adding Zofran can potentially help mitigate these side effects. </w:t>
      </w:r>
    </w:p>
    <w:p w14:paraId="466EC077" w14:textId="54CF0834" w:rsidR="003976A2" w:rsidRPr="00C247B4" w:rsidRDefault="00F4077F" w:rsidP="003976A2">
      <w:pPr>
        <w:pStyle w:val="ListParagraph"/>
        <w:numPr>
          <w:ilvl w:val="0"/>
          <w:numId w:val="5"/>
        </w:numPr>
        <w:rPr>
          <w:rFonts w:ascii="Arial" w:hAnsi="Arial" w:cs="Arial"/>
          <w:b/>
        </w:rPr>
      </w:pPr>
      <w:r w:rsidRPr="00C247B4">
        <w:rPr>
          <w:rFonts w:ascii="Arial" w:hAnsi="Arial" w:cs="Arial"/>
          <w:b/>
        </w:rPr>
        <w:t xml:space="preserve">Nitrosamines and rifampin: </w:t>
      </w:r>
      <w:r w:rsidRPr="00C247B4">
        <w:rPr>
          <w:rFonts w:ascii="Arial" w:hAnsi="Arial" w:cs="Arial"/>
          <w:bCs/>
        </w:rPr>
        <w:t xml:space="preserve">For this 71yo, the PCP shared with us that when discussing nitrosamine impurities, it is important to educate patients that nitrosamines are present throughout our environment and large quantities would be needed to increase the risk of cancer. Many patients have heard about the </w:t>
      </w:r>
      <w:proofErr w:type="spellStart"/>
      <w:r w:rsidRPr="00C247B4">
        <w:rPr>
          <w:rFonts w:ascii="Arial" w:hAnsi="Arial" w:cs="Arial"/>
          <w:bCs/>
        </w:rPr>
        <w:t>zantac</w:t>
      </w:r>
      <w:proofErr w:type="spellEnd"/>
      <w:r w:rsidRPr="00C247B4">
        <w:rPr>
          <w:rFonts w:ascii="Arial" w:hAnsi="Arial" w:cs="Arial"/>
          <w:bCs/>
        </w:rPr>
        <w:t xml:space="preserve"> recall </w:t>
      </w:r>
      <w:r w:rsidR="003976A2" w:rsidRPr="00C247B4">
        <w:rPr>
          <w:rFonts w:ascii="Arial" w:hAnsi="Arial" w:cs="Arial"/>
          <w:bCs/>
        </w:rPr>
        <w:t xml:space="preserve">so it could be helpful to use this as an example. </w:t>
      </w:r>
      <w:r w:rsidR="00C247B4">
        <w:rPr>
          <w:rFonts w:ascii="Arial" w:hAnsi="Arial" w:cs="Arial"/>
          <w:bCs/>
        </w:rPr>
        <w:t>This patient decided</w:t>
      </w:r>
      <w:r w:rsidR="003976A2" w:rsidRPr="00C247B4">
        <w:rPr>
          <w:rFonts w:ascii="Arial" w:hAnsi="Arial" w:cs="Arial"/>
          <w:bCs/>
        </w:rPr>
        <w:t xml:space="preserve"> that controlling her RA is a priority for her so the benefits of getting her on a DMARD sooner outweigh the potential nitrosamine risks.</w:t>
      </w:r>
    </w:p>
    <w:p w14:paraId="2BA5078D" w14:textId="21DA7AE9" w:rsidR="00C145E6" w:rsidRPr="00C247B4" w:rsidRDefault="00C145E6" w:rsidP="003976A2">
      <w:pPr>
        <w:pStyle w:val="ListParagraph"/>
        <w:numPr>
          <w:ilvl w:val="0"/>
          <w:numId w:val="5"/>
        </w:numPr>
        <w:rPr>
          <w:rFonts w:ascii="Arial" w:hAnsi="Arial" w:cs="Arial"/>
          <w:b/>
        </w:rPr>
      </w:pPr>
      <w:r w:rsidRPr="00C247B4">
        <w:rPr>
          <w:rFonts w:ascii="Arial" w:hAnsi="Arial" w:cs="Arial"/>
          <w:b/>
        </w:rPr>
        <w:t>Never hesitate to consult the experts with questions or conc</w:t>
      </w:r>
      <w:r w:rsidR="00A535C0" w:rsidRPr="00C247B4">
        <w:rPr>
          <w:rFonts w:ascii="Arial" w:hAnsi="Arial" w:cs="Arial"/>
          <w:b/>
        </w:rPr>
        <w:t>erns about TB infection/disease!</w:t>
      </w:r>
      <w:r w:rsidRPr="00C247B4">
        <w:rPr>
          <w:rFonts w:ascii="Arial" w:hAnsi="Arial" w:cs="Arial"/>
          <w:b/>
        </w:rPr>
        <w:t xml:space="preserve"> </w:t>
      </w:r>
      <w:r w:rsidRPr="00C247B4">
        <w:rPr>
          <w:rFonts w:ascii="Arial" w:hAnsi="Arial" w:cs="Arial"/>
        </w:rPr>
        <w:t xml:space="preserve">MA DPH and your local TB clinic are excellent resources. Contact DPH at </w:t>
      </w:r>
      <w:r w:rsidRPr="00C247B4">
        <w:rPr>
          <w:rFonts w:ascii="Arial" w:hAnsi="Arial" w:cs="Arial"/>
          <w:b/>
        </w:rPr>
        <w:t>617-983-6970</w:t>
      </w:r>
      <w:r w:rsidRPr="00C247B4">
        <w:rPr>
          <w:rFonts w:ascii="Arial" w:hAnsi="Arial" w:cs="Arial"/>
          <w:b/>
          <w:i/>
        </w:rPr>
        <w:t xml:space="preserve"> </w:t>
      </w:r>
      <w:r w:rsidRPr="00C247B4">
        <w:rPr>
          <w:rFonts w:ascii="Arial" w:hAnsi="Arial" w:cs="Arial"/>
        </w:rPr>
        <w:t xml:space="preserve">during business hours and ask for the epidemiologist on call; contact </w:t>
      </w:r>
      <w:r w:rsidRPr="00C247B4">
        <w:rPr>
          <w:rFonts w:ascii="Arial" w:hAnsi="Arial" w:cs="Arial"/>
          <w:b/>
        </w:rPr>
        <w:t>617-983-6800</w:t>
      </w:r>
      <w:r w:rsidRPr="00C247B4">
        <w:rPr>
          <w:rFonts w:ascii="Arial" w:hAnsi="Arial" w:cs="Arial"/>
        </w:rPr>
        <w:t xml:space="preserve"> after hours for the answering service.</w:t>
      </w:r>
      <w:r w:rsidRPr="00C247B4">
        <w:rPr>
          <w:rFonts w:ascii="Arial" w:hAnsi="Arial" w:cs="Arial"/>
          <w:b/>
        </w:rPr>
        <w:t xml:space="preserve"> </w:t>
      </w:r>
    </w:p>
    <w:p w14:paraId="06AF14F2" w14:textId="77777777" w:rsidR="00C145E6" w:rsidRPr="00C247B4" w:rsidRDefault="00C145E6" w:rsidP="00C145E6">
      <w:pPr>
        <w:spacing w:before="100" w:beforeAutospacing="1" w:after="100" w:afterAutospacing="1"/>
        <w:rPr>
          <w:rFonts w:ascii="Arial" w:hAnsi="Arial" w:cs="Arial"/>
          <w:b/>
        </w:rPr>
      </w:pPr>
    </w:p>
    <w:sectPr w:rsidR="00C145E6" w:rsidRPr="00C247B4" w:rsidSect="003976A2">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0511C"/>
    <w:multiLevelType w:val="hybridMultilevel"/>
    <w:tmpl w:val="C13824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6E6B58"/>
    <w:multiLevelType w:val="hybridMultilevel"/>
    <w:tmpl w:val="C974E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B82D71"/>
    <w:multiLevelType w:val="hybridMultilevel"/>
    <w:tmpl w:val="B0204618"/>
    <w:lvl w:ilvl="0" w:tplc="A9688876">
      <w:start w:val="1"/>
      <w:numFmt w:val="decimal"/>
      <w:lvlText w:val="%1."/>
      <w:lvlJc w:val="left"/>
      <w:pPr>
        <w:ind w:left="720" w:hanging="360"/>
      </w:pPr>
      <w:rPr>
        <w:rFonts w:ascii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E6793"/>
    <w:multiLevelType w:val="hybridMultilevel"/>
    <w:tmpl w:val="8864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560D84"/>
    <w:multiLevelType w:val="hybridMultilevel"/>
    <w:tmpl w:val="5EC2D47A"/>
    <w:lvl w:ilvl="0" w:tplc="7950823A">
      <w:start w:val="1"/>
      <w:numFmt w:val="decimal"/>
      <w:lvlText w:val="%1."/>
      <w:lvlJc w:val="left"/>
      <w:pPr>
        <w:ind w:left="780" w:hanging="4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8AC"/>
    <w:rsid w:val="001B05BC"/>
    <w:rsid w:val="00214D84"/>
    <w:rsid w:val="00346CCB"/>
    <w:rsid w:val="003976A2"/>
    <w:rsid w:val="005154EF"/>
    <w:rsid w:val="006A3A60"/>
    <w:rsid w:val="00725266"/>
    <w:rsid w:val="00794EF3"/>
    <w:rsid w:val="007D0119"/>
    <w:rsid w:val="008C515D"/>
    <w:rsid w:val="00927AF2"/>
    <w:rsid w:val="0095745E"/>
    <w:rsid w:val="00A07B14"/>
    <w:rsid w:val="00A37B06"/>
    <w:rsid w:val="00A535C0"/>
    <w:rsid w:val="00AD5FEB"/>
    <w:rsid w:val="00BB4DB6"/>
    <w:rsid w:val="00BE72E1"/>
    <w:rsid w:val="00C145E6"/>
    <w:rsid w:val="00C247B4"/>
    <w:rsid w:val="00C278AC"/>
    <w:rsid w:val="00D072D3"/>
    <w:rsid w:val="00E96BD9"/>
    <w:rsid w:val="00F4077F"/>
    <w:rsid w:val="00F6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F516"/>
  <w15:chartTrackingRefBased/>
  <w15:docId w15:val="{636E63EA-3C71-43C4-82BD-BB18AF23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8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78AC"/>
    <w:pPr>
      <w:ind w:left="720"/>
      <w:contextualSpacing/>
    </w:pPr>
  </w:style>
  <w:style w:type="paragraph" w:styleId="BalloonText">
    <w:name w:val="Balloon Text"/>
    <w:basedOn w:val="Normal"/>
    <w:link w:val="BalloonTextChar"/>
    <w:uiPriority w:val="99"/>
    <w:semiHidden/>
    <w:unhideWhenUsed/>
    <w:rsid w:val="00927AF2"/>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27AF2"/>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139216">
      <w:bodyDiv w:val="1"/>
      <w:marLeft w:val="0"/>
      <w:marRight w:val="0"/>
      <w:marTop w:val="0"/>
      <w:marBottom w:val="0"/>
      <w:divBdr>
        <w:top w:val="none" w:sz="0" w:space="0" w:color="auto"/>
        <w:left w:val="none" w:sz="0" w:space="0" w:color="auto"/>
        <w:bottom w:val="none" w:sz="0" w:space="0" w:color="auto"/>
        <w:right w:val="none" w:sz="0" w:space="0" w:color="auto"/>
      </w:divBdr>
    </w:div>
    <w:div w:id="522865934">
      <w:bodyDiv w:val="1"/>
      <w:marLeft w:val="0"/>
      <w:marRight w:val="0"/>
      <w:marTop w:val="0"/>
      <w:marBottom w:val="0"/>
      <w:divBdr>
        <w:top w:val="none" w:sz="0" w:space="0" w:color="auto"/>
        <w:left w:val="none" w:sz="0" w:space="0" w:color="auto"/>
        <w:bottom w:val="none" w:sz="0" w:space="0" w:color="auto"/>
        <w:right w:val="none" w:sz="0" w:space="0" w:color="auto"/>
      </w:divBdr>
      <w:divsChild>
        <w:div w:id="584265542">
          <w:marLeft w:val="0"/>
          <w:marRight w:val="0"/>
          <w:marTop w:val="0"/>
          <w:marBottom w:val="0"/>
          <w:divBdr>
            <w:top w:val="none" w:sz="0" w:space="0" w:color="auto"/>
            <w:left w:val="none" w:sz="0" w:space="0" w:color="auto"/>
            <w:bottom w:val="none" w:sz="0" w:space="0" w:color="auto"/>
            <w:right w:val="none" w:sz="0" w:space="0" w:color="auto"/>
          </w:divBdr>
          <w:divsChild>
            <w:div w:id="276497025">
              <w:marLeft w:val="0"/>
              <w:marRight w:val="0"/>
              <w:marTop w:val="0"/>
              <w:marBottom w:val="0"/>
              <w:divBdr>
                <w:top w:val="none" w:sz="0" w:space="0" w:color="auto"/>
                <w:left w:val="none" w:sz="0" w:space="0" w:color="auto"/>
                <w:bottom w:val="none" w:sz="0" w:space="0" w:color="auto"/>
                <w:right w:val="none" w:sz="0" w:space="0" w:color="auto"/>
              </w:divBdr>
              <w:divsChild>
                <w:div w:id="1849130090">
                  <w:marLeft w:val="0"/>
                  <w:marRight w:val="0"/>
                  <w:marTop w:val="120"/>
                  <w:marBottom w:val="0"/>
                  <w:divBdr>
                    <w:top w:val="none" w:sz="0" w:space="0" w:color="auto"/>
                    <w:left w:val="none" w:sz="0" w:space="0" w:color="auto"/>
                    <w:bottom w:val="none" w:sz="0" w:space="0" w:color="auto"/>
                    <w:right w:val="none" w:sz="0" w:space="0" w:color="auto"/>
                  </w:divBdr>
                  <w:divsChild>
                    <w:div w:id="596913495">
                      <w:marLeft w:val="0"/>
                      <w:marRight w:val="0"/>
                      <w:marTop w:val="0"/>
                      <w:marBottom w:val="0"/>
                      <w:divBdr>
                        <w:top w:val="none" w:sz="0" w:space="0" w:color="auto"/>
                        <w:left w:val="none" w:sz="0" w:space="0" w:color="auto"/>
                        <w:bottom w:val="none" w:sz="0" w:space="0" w:color="auto"/>
                        <w:right w:val="none" w:sz="0" w:space="0" w:color="auto"/>
                      </w:divBdr>
                      <w:divsChild>
                        <w:div w:id="1924219666">
                          <w:marLeft w:val="0"/>
                          <w:marRight w:val="0"/>
                          <w:marTop w:val="0"/>
                          <w:marBottom w:val="0"/>
                          <w:divBdr>
                            <w:top w:val="none" w:sz="0" w:space="0" w:color="auto"/>
                            <w:left w:val="none" w:sz="0" w:space="0" w:color="auto"/>
                            <w:bottom w:val="none" w:sz="0" w:space="0" w:color="auto"/>
                            <w:right w:val="none" w:sz="0" w:space="0" w:color="auto"/>
                          </w:divBdr>
                          <w:divsChild>
                            <w:div w:id="1815291456">
                              <w:marLeft w:val="0"/>
                              <w:marRight w:val="0"/>
                              <w:marTop w:val="0"/>
                              <w:marBottom w:val="0"/>
                              <w:divBdr>
                                <w:top w:val="none" w:sz="0" w:space="0" w:color="auto"/>
                                <w:left w:val="none" w:sz="0" w:space="0" w:color="auto"/>
                                <w:bottom w:val="none" w:sz="0" w:space="0" w:color="auto"/>
                                <w:right w:val="none" w:sz="0" w:space="0" w:color="auto"/>
                              </w:divBdr>
                              <w:divsChild>
                                <w:div w:id="1297443567">
                                  <w:marLeft w:val="0"/>
                                  <w:marRight w:val="0"/>
                                  <w:marTop w:val="0"/>
                                  <w:marBottom w:val="0"/>
                                  <w:divBdr>
                                    <w:top w:val="none" w:sz="0" w:space="0" w:color="auto"/>
                                    <w:left w:val="none" w:sz="0" w:space="0" w:color="auto"/>
                                    <w:bottom w:val="none" w:sz="0" w:space="0" w:color="auto"/>
                                    <w:right w:val="none" w:sz="0" w:space="0" w:color="auto"/>
                                  </w:divBdr>
                                  <w:divsChild>
                                    <w:div w:id="1216895801">
                                      <w:marLeft w:val="0"/>
                                      <w:marRight w:val="0"/>
                                      <w:marTop w:val="30"/>
                                      <w:marBottom w:val="0"/>
                                      <w:divBdr>
                                        <w:top w:val="none" w:sz="0" w:space="0" w:color="auto"/>
                                        <w:left w:val="none" w:sz="0" w:space="0" w:color="auto"/>
                                        <w:bottom w:val="none" w:sz="0" w:space="0" w:color="auto"/>
                                        <w:right w:val="none" w:sz="0" w:space="0" w:color="auto"/>
                                      </w:divBdr>
                                      <w:divsChild>
                                        <w:div w:id="13471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99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0C4740093EF1498A5C438829F68559" ma:contentTypeVersion="9" ma:contentTypeDescription="Create a new document." ma:contentTypeScope="" ma:versionID="ad7ccc189bd73657b5ea025ec678c4a5">
  <xsd:schema xmlns:xsd="http://www.w3.org/2001/XMLSchema" xmlns:xs="http://www.w3.org/2001/XMLSchema" xmlns:p="http://schemas.microsoft.com/office/2006/metadata/properties" xmlns:ns3="94064097-2571-4b59-be25-dd8671d3c47e" targetNamespace="http://schemas.microsoft.com/office/2006/metadata/properties" ma:root="true" ma:fieldsID="218bb3ef00131a34841ff2deae990e6e" ns3:_="">
    <xsd:import namespace="94064097-2571-4b59-be25-dd8671d3c4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64097-2571-4b59-be25-dd8671d3c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D4D34-8BB4-40D5-B6C1-904B44665B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9D379C-0EF2-44C3-B0D8-4DE8004395A8}">
  <ds:schemaRefs>
    <ds:schemaRef ds:uri="http://schemas.microsoft.com/sharepoint/v3/contenttype/forms"/>
  </ds:schemaRefs>
</ds:datastoreItem>
</file>

<file path=customXml/itemProps3.xml><?xml version="1.0" encoding="utf-8"?>
<ds:datastoreItem xmlns:ds="http://schemas.openxmlformats.org/officeDocument/2006/customXml" ds:itemID="{D80D51E5-56EB-411D-AAD4-79E8A4D28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64097-2571-4b59-be25-dd8671d3c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Thal</dc:creator>
  <cp:keywords/>
  <dc:description/>
  <cp:lastModifiedBy>Foley, G Susan</cp:lastModifiedBy>
  <cp:revision>2</cp:revision>
  <dcterms:created xsi:type="dcterms:W3CDTF">2021-03-24T20:51:00Z</dcterms:created>
  <dcterms:modified xsi:type="dcterms:W3CDTF">2021-03-24T20:51:00Z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0x0101005C0C4740093EF1498A5C438829F68559</vt:lpwstr>
  </property>
</Properties>
</file>