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84E9D" w14:textId="77777777" w:rsidR="007D0119" w:rsidRDefault="00AE22B1">
      <w:pPr>
        <w:rPr>
          <w:u w:val="single"/>
        </w:rPr>
      </w:pPr>
      <w:r>
        <w:rPr>
          <w:u w:val="single"/>
        </w:rPr>
        <w:t>MA LTBI ECHO Session Summary: July 15, 2021</w:t>
      </w:r>
    </w:p>
    <w:p w14:paraId="5E1C9C46" w14:textId="77777777" w:rsidR="00AE22B1" w:rsidRDefault="00AE22B1" w:rsidP="00AE22B1">
      <w:pPr>
        <w:shd w:val="clear" w:color="auto" w:fill="FFFFFF"/>
        <w:spacing w:before="200" w:line="176" w:lineRule="atLeast"/>
        <w:rPr>
          <w:rFonts w:ascii="Arial" w:hAnsi="Arial" w:cs="Times New Roman"/>
          <w:b/>
          <w:bCs/>
          <w:color w:val="222222"/>
          <w:sz w:val="24"/>
          <w:szCs w:val="24"/>
        </w:rPr>
      </w:pPr>
      <w:r>
        <w:rPr>
          <w:rFonts w:ascii="Arial" w:hAnsi="Arial" w:cs="Times New Roman"/>
          <w:b/>
          <w:bCs/>
          <w:color w:val="222222"/>
          <w:sz w:val="24"/>
          <w:szCs w:val="24"/>
        </w:rPr>
        <w:t>Key Points</w:t>
      </w:r>
    </w:p>
    <w:p w14:paraId="0AA40EF6" w14:textId="77777777" w:rsidR="00AE22B1" w:rsidRPr="004B6308" w:rsidRDefault="00AE22B1" w:rsidP="00AE22B1">
      <w:pPr>
        <w:shd w:val="clear" w:color="auto" w:fill="FFFFFF"/>
        <w:spacing w:before="200" w:line="176" w:lineRule="atLeast"/>
        <w:rPr>
          <w:rFonts w:cstheme="minorHAnsi"/>
          <w:b/>
          <w:bCs/>
          <w:color w:val="222222"/>
        </w:rPr>
      </w:pPr>
      <w:r w:rsidRPr="004B6308">
        <w:rPr>
          <w:rFonts w:cstheme="minorHAnsi"/>
          <w:b/>
          <w:bCs/>
          <w:color w:val="222222"/>
        </w:rPr>
        <w:t>Case #1</w:t>
      </w:r>
    </w:p>
    <w:p w14:paraId="52DEAB90" w14:textId="288C3A52" w:rsidR="00AE22B1" w:rsidRDefault="00AE22B1" w:rsidP="00AE22B1">
      <w:pPr>
        <w:pStyle w:val="ListParagraph"/>
        <w:numPr>
          <w:ilvl w:val="0"/>
          <w:numId w:val="1"/>
        </w:numPr>
        <w:contextualSpacing w:val="0"/>
        <w:jc w:val="both"/>
        <w:rPr>
          <w:rFonts w:asciiTheme="minorHAnsi" w:hAnsiTheme="minorHAnsi" w:cstheme="minorHAnsi"/>
        </w:rPr>
      </w:pPr>
      <w:r>
        <w:rPr>
          <w:rFonts w:asciiTheme="minorHAnsi" w:hAnsiTheme="minorHAnsi" w:cstheme="minorHAnsi"/>
          <w:b/>
        </w:rPr>
        <w:t xml:space="preserve">Use several different phrases to ask about TB contact. </w:t>
      </w:r>
      <w:r>
        <w:rPr>
          <w:rFonts w:asciiTheme="minorHAnsi" w:hAnsiTheme="minorHAnsi" w:cstheme="minorHAnsi"/>
        </w:rPr>
        <w:t xml:space="preserve">For example, in the case discussed, the patient initially stated “no” to the question of whether she was a contact, but later answered “yes” when asked if the health department had ever recommended that she get tested for TB infection. </w:t>
      </w:r>
    </w:p>
    <w:p w14:paraId="26A62DFD" w14:textId="13CCE191" w:rsidR="00E50472" w:rsidRPr="007E7FCB" w:rsidRDefault="00E50472" w:rsidP="00AE22B1">
      <w:pPr>
        <w:pStyle w:val="ListParagraph"/>
        <w:numPr>
          <w:ilvl w:val="0"/>
          <w:numId w:val="1"/>
        </w:numPr>
        <w:contextualSpacing w:val="0"/>
        <w:jc w:val="both"/>
        <w:rPr>
          <w:rFonts w:asciiTheme="minorHAnsi" w:hAnsiTheme="minorHAnsi" w:cstheme="minorHAnsi"/>
        </w:rPr>
      </w:pPr>
      <w:r>
        <w:rPr>
          <w:rFonts w:asciiTheme="minorHAnsi" w:hAnsiTheme="minorHAnsi" w:cstheme="minorHAnsi"/>
          <w:b/>
        </w:rPr>
        <w:t xml:space="preserve">Contact DPH for help determining whether your patient has had contact with active TB. </w:t>
      </w:r>
      <w:r>
        <w:rPr>
          <w:rFonts w:asciiTheme="minorHAnsi" w:hAnsiTheme="minorHAnsi" w:cstheme="minorHAnsi"/>
        </w:rPr>
        <w:t xml:space="preserve">DPH may be able to see the patient’s name on a “bed log” from a </w:t>
      </w:r>
      <w:proofErr w:type="gramStart"/>
      <w:r>
        <w:rPr>
          <w:rFonts w:asciiTheme="minorHAnsi" w:hAnsiTheme="minorHAnsi" w:cstheme="minorHAnsi"/>
        </w:rPr>
        <w:t>shelter, or</w:t>
      </w:r>
      <w:proofErr w:type="gramEnd"/>
      <w:r>
        <w:rPr>
          <w:rFonts w:asciiTheme="minorHAnsi" w:hAnsiTheme="minorHAnsi" w:cstheme="minorHAnsi"/>
        </w:rPr>
        <w:t xml:space="preserve"> may be able to pinpoint an index case who was infectious at the time of the patient’s positive testing. </w:t>
      </w:r>
    </w:p>
    <w:p w14:paraId="436895FE" w14:textId="77777777" w:rsidR="00AE22B1" w:rsidRPr="00BA6AE3" w:rsidRDefault="00AE22B1" w:rsidP="00AE22B1">
      <w:pPr>
        <w:pStyle w:val="ListParagraph"/>
        <w:numPr>
          <w:ilvl w:val="0"/>
          <w:numId w:val="1"/>
        </w:numPr>
        <w:contextualSpacing w:val="0"/>
        <w:jc w:val="both"/>
        <w:rPr>
          <w:rFonts w:asciiTheme="minorHAnsi" w:hAnsiTheme="minorHAnsi" w:cstheme="minorHAnsi"/>
        </w:rPr>
      </w:pPr>
      <w:r>
        <w:rPr>
          <w:rFonts w:asciiTheme="minorHAnsi" w:hAnsiTheme="minorHAnsi" w:cstheme="minorHAnsi"/>
          <w:b/>
          <w:bCs/>
        </w:rPr>
        <w:t xml:space="preserve">Recognize that immunosuppression is a risk factor for progression from LTBI to active tuberculosis. </w:t>
      </w:r>
      <w:r>
        <w:rPr>
          <w:rFonts w:asciiTheme="minorHAnsi" w:hAnsiTheme="minorHAnsi" w:cstheme="minorHAnsi"/>
          <w:bCs/>
        </w:rPr>
        <w:t>This patient has RA on hydroxychloroquine; she may be at higher risk for reactivation of TB disease, and so she is a higher priority to treat.</w:t>
      </w:r>
    </w:p>
    <w:p w14:paraId="1E4F1395" w14:textId="77777777" w:rsidR="00AE22B1" w:rsidRPr="008A5E50" w:rsidRDefault="00AE22B1" w:rsidP="00AE22B1">
      <w:pPr>
        <w:pStyle w:val="ListParagraph"/>
        <w:numPr>
          <w:ilvl w:val="0"/>
          <w:numId w:val="1"/>
        </w:numPr>
        <w:contextualSpacing w:val="0"/>
        <w:jc w:val="both"/>
        <w:rPr>
          <w:rFonts w:asciiTheme="minorHAnsi" w:hAnsiTheme="minorHAnsi" w:cstheme="minorHAnsi"/>
        </w:rPr>
      </w:pPr>
      <w:r>
        <w:rPr>
          <w:rFonts w:asciiTheme="minorHAnsi" w:hAnsiTheme="minorHAnsi" w:cstheme="minorHAnsi"/>
          <w:b/>
          <w:bCs/>
        </w:rPr>
        <w:t xml:space="preserve">Be sure to consider your patient’s history of liver disease, and any ongoing insults to the liver, as well as their baseline LFTs. </w:t>
      </w:r>
      <w:r>
        <w:rPr>
          <w:rFonts w:asciiTheme="minorHAnsi" w:hAnsiTheme="minorHAnsi" w:cstheme="minorHAnsi"/>
          <w:bCs/>
        </w:rPr>
        <w:t xml:space="preserve">This patient had normal baseline liver </w:t>
      </w:r>
      <w:proofErr w:type="gramStart"/>
      <w:r>
        <w:rPr>
          <w:rFonts w:asciiTheme="minorHAnsi" w:hAnsiTheme="minorHAnsi" w:cstheme="minorHAnsi"/>
          <w:bCs/>
        </w:rPr>
        <w:t>testing, but</w:t>
      </w:r>
      <w:proofErr w:type="gramEnd"/>
      <w:r>
        <w:rPr>
          <w:rFonts w:asciiTheme="minorHAnsi" w:hAnsiTheme="minorHAnsi" w:cstheme="minorHAnsi"/>
          <w:bCs/>
        </w:rPr>
        <w:t xml:space="preserve"> has a history of liver disease (HBV/HCV) as well as a history of alcohol use disorder. In her case, she cleared both HBV and HCV, and her alcohol use disorder is in remission.</w:t>
      </w:r>
    </w:p>
    <w:p w14:paraId="5AAEFA98" w14:textId="77777777" w:rsidR="00AE22B1" w:rsidRPr="00AE22B1" w:rsidRDefault="00AE22B1" w:rsidP="00AE22B1">
      <w:pPr>
        <w:pStyle w:val="ListParagraph"/>
        <w:numPr>
          <w:ilvl w:val="0"/>
          <w:numId w:val="1"/>
        </w:numPr>
        <w:contextualSpacing w:val="0"/>
        <w:jc w:val="both"/>
        <w:rPr>
          <w:rFonts w:asciiTheme="minorHAnsi" w:hAnsiTheme="minorHAnsi" w:cstheme="minorHAnsi"/>
        </w:rPr>
      </w:pPr>
      <w:r>
        <w:rPr>
          <w:rFonts w:asciiTheme="minorHAnsi" w:hAnsiTheme="minorHAnsi" w:cstheme="minorHAnsi"/>
          <w:b/>
          <w:bCs/>
        </w:rPr>
        <w:t xml:space="preserve">Consider your patient’s overall risk profile when choosing a regimen. </w:t>
      </w:r>
      <w:r>
        <w:rPr>
          <w:rFonts w:asciiTheme="minorHAnsi" w:hAnsiTheme="minorHAnsi" w:cstheme="minorHAnsi"/>
          <w:bCs/>
        </w:rPr>
        <w:t xml:space="preserve">This patient is a higher priority to </w:t>
      </w:r>
      <w:proofErr w:type="gramStart"/>
      <w:r>
        <w:rPr>
          <w:rFonts w:asciiTheme="minorHAnsi" w:hAnsiTheme="minorHAnsi" w:cstheme="minorHAnsi"/>
          <w:bCs/>
        </w:rPr>
        <w:t>treat, and</w:t>
      </w:r>
      <w:proofErr w:type="gramEnd"/>
      <w:r>
        <w:rPr>
          <w:rFonts w:asciiTheme="minorHAnsi" w:hAnsiTheme="minorHAnsi" w:cstheme="minorHAnsi"/>
          <w:bCs/>
        </w:rPr>
        <w:t xml:space="preserve"> has potential for liver injury with a longer or more hepatotoxic regimen, so 4 months of RIF is an appropriate choice.</w:t>
      </w:r>
    </w:p>
    <w:p w14:paraId="05D06D4B" w14:textId="77777777" w:rsidR="00AE22B1" w:rsidRDefault="00AE22B1" w:rsidP="00AE22B1">
      <w:pPr>
        <w:pStyle w:val="ListParagraph"/>
        <w:numPr>
          <w:ilvl w:val="0"/>
          <w:numId w:val="1"/>
        </w:numPr>
        <w:contextualSpacing w:val="0"/>
        <w:jc w:val="both"/>
        <w:rPr>
          <w:rFonts w:asciiTheme="minorHAnsi" w:hAnsiTheme="minorHAnsi" w:cstheme="minorHAnsi"/>
        </w:rPr>
      </w:pPr>
      <w:r>
        <w:rPr>
          <w:rFonts w:asciiTheme="minorHAnsi" w:hAnsiTheme="minorHAnsi" w:cstheme="minorHAnsi"/>
          <w:b/>
          <w:bCs/>
        </w:rPr>
        <w:t>When discussing rifampin, provide clear counseling on nitrosamine contamination.</w:t>
      </w:r>
      <w:r>
        <w:rPr>
          <w:rFonts w:asciiTheme="minorHAnsi" w:hAnsiTheme="minorHAnsi" w:cstheme="minorHAnsi"/>
        </w:rPr>
        <w:t xml:space="preserve"> Some participants suggested using phrases like “The risk of cancer from nitrosamine exposure in rifampin is lower than the risk of developing active TB disease,” or reminding patients that nitrosamines are present in very small amounts in RIF and are also found in common food items such as beer and smoked meats.</w:t>
      </w:r>
    </w:p>
    <w:p w14:paraId="27FD8215" w14:textId="77777777" w:rsidR="00AE22B1" w:rsidRPr="004B6308" w:rsidRDefault="00AE22B1" w:rsidP="00AE22B1">
      <w:pPr>
        <w:pStyle w:val="ListParagraph"/>
        <w:numPr>
          <w:ilvl w:val="0"/>
          <w:numId w:val="1"/>
        </w:numPr>
        <w:contextualSpacing w:val="0"/>
        <w:jc w:val="both"/>
        <w:rPr>
          <w:rFonts w:asciiTheme="minorHAnsi" w:hAnsiTheme="minorHAnsi" w:cstheme="minorHAnsi"/>
        </w:rPr>
      </w:pPr>
      <w:r>
        <w:rPr>
          <w:rFonts w:asciiTheme="minorHAnsi" w:hAnsiTheme="minorHAnsi" w:cstheme="minorHAnsi"/>
          <w:b/>
          <w:bCs/>
        </w:rPr>
        <w:t>Remember that rifampin interacts with levothyroxine.</w:t>
      </w:r>
      <w:r>
        <w:rPr>
          <w:rFonts w:asciiTheme="minorHAnsi" w:hAnsiTheme="minorHAnsi" w:cstheme="minorHAnsi"/>
        </w:rPr>
        <w:t xml:space="preserve"> RIF induces metabolism of levothyroxine, and so patients on levothyroxine should have their TSH monitored periodically (</w:t>
      </w:r>
      <w:proofErr w:type="gramStart"/>
      <w:r>
        <w:rPr>
          <w:rFonts w:asciiTheme="minorHAnsi" w:hAnsiTheme="minorHAnsi" w:cstheme="minorHAnsi"/>
        </w:rPr>
        <w:t>e.g.</w:t>
      </w:r>
      <w:proofErr w:type="gramEnd"/>
      <w:r>
        <w:rPr>
          <w:rFonts w:asciiTheme="minorHAnsi" w:hAnsiTheme="minorHAnsi" w:cstheme="minorHAnsi"/>
        </w:rPr>
        <w:t xml:space="preserve"> every 6 weeks) while on rifampin. Such patients may need a levothyroxine dose increase while taking RIF.</w:t>
      </w:r>
    </w:p>
    <w:p w14:paraId="43741D12" w14:textId="77777777" w:rsidR="00AE22B1" w:rsidRDefault="00AE22B1" w:rsidP="00AE22B1">
      <w:pPr>
        <w:rPr>
          <w:rFonts w:cstheme="minorHAnsi"/>
        </w:rPr>
      </w:pPr>
    </w:p>
    <w:p w14:paraId="588C1347" w14:textId="77777777" w:rsidR="00AE22B1" w:rsidRPr="004B6308" w:rsidRDefault="00AE22B1" w:rsidP="00AE22B1">
      <w:pPr>
        <w:shd w:val="clear" w:color="auto" w:fill="FFFFFF"/>
        <w:spacing w:before="200" w:line="176" w:lineRule="atLeast"/>
        <w:rPr>
          <w:rFonts w:cstheme="minorHAnsi"/>
          <w:b/>
          <w:bCs/>
          <w:color w:val="222222"/>
        </w:rPr>
      </w:pPr>
      <w:r>
        <w:rPr>
          <w:rFonts w:cstheme="minorHAnsi"/>
          <w:b/>
          <w:bCs/>
          <w:color w:val="222222"/>
        </w:rPr>
        <w:t>Case #2</w:t>
      </w:r>
    </w:p>
    <w:p w14:paraId="10CC7F89" w14:textId="77777777" w:rsidR="00AE22B1" w:rsidRPr="00DF6101" w:rsidRDefault="00AE22B1" w:rsidP="00AE22B1">
      <w:pPr>
        <w:pStyle w:val="ListParagraph"/>
        <w:numPr>
          <w:ilvl w:val="0"/>
          <w:numId w:val="2"/>
        </w:numPr>
        <w:rPr>
          <w:rFonts w:asciiTheme="minorHAnsi" w:hAnsiTheme="minorHAnsi" w:cstheme="minorHAnsi"/>
        </w:rPr>
      </w:pPr>
      <w:r>
        <w:rPr>
          <w:rFonts w:asciiTheme="minorHAnsi" w:hAnsiTheme="minorHAnsi" w:cstheme="minorHAnsi"/>
          <w:b/>
        </w:rPr>
        <w:t xml:space="preserve">Ask all patients about history of congregate living (jail, shelters, </w:t>
      </w:r>
      <w:proofErr w:type="spellStart"/>
      <w:r>
        <w:rPr>
          <w:rFonts w:asciiTheme="minorHAnsi" w:hAnsiTheme="minorHAnsi" w:cstheme="minorHAnsi"/>
          <w:b/>
        </w:rPr>
        <w:t>etc</w:t>
      </w:r>
      <w:proofErr w:type="spellEnd"/>
      <w:r>
        <w:rPr>
          <w:rFonts w:asciiTheme="minorHAnsi" w:hAnsiTheme="minorHAnsi" w:cstheme="minorHAnsi"/>
          <w:b/>
        </w:rPr>
        <w:t xml:space="preserve">). </w:t>
      </w:r>
      <w:r>
        <w:rPr>
          <w:rFonts w:asciiTheme="minorHAnsi" w:hAnsiTheme="minorHAnsi" w:cstheme="minorHAnsi"/>
        </w:rPr>
        <w:t>This helps us ensure we are testing those people most at risk for LTBI. The patient presented did not have any known risk factors for LTBI other than having lived in shelter.</w:t>
      </w:r>
    </w:p>
    <w:p w14:paraId="10455E19" w14:textId="77777777" w:rsidR="00AE22B1" w:rsidRPr="008A5E50" w:rsidRDefault="00AE22B1" w:rsidP="00AE22B1">
      <w:pPr>
        <w:pStyle w:val="ListParagraph"/>
        <w:numPr>
          <w:ilvl w:val="0"/>
          <w:numId w:val="2"/>
        </w:numPr>
        <w:rPr>
          <w:rFonts w:asciiTheme="minorHAnsi" w:hAnsiTheme="minorHAnsi" w:cstheme="minorHAnsi"/>
        </w:rPr>
      </w:pPr>
      <w:r>
        <w:rPr>
          <w:rFonts w:asciiTheme="minorHAnsi" w:hAnsiTheme="minorHAnsi" w:cstheme="minorHAnsi"/>
          <w:b/>
          <w:color w:val="000000"/>
        </w:rPr>
        <w:t xml:space="preserve">Counsel patients not just about medications, but also about what treatment, monitoring, and follow-up will look like. </w:t>
      </w:r>
      <w:r>
        <w:rPr>
          <w:rFonts w:asciiTheme="minorHAnsi" w:hAnsiTheme="minorHAnsi" w:cstheme="minorHAnsi"/>
          <w:color w:val="000000"/>
        </w:rPr>
        <w:t xml:space="preserve">Our presenter counseled the patient clearly on the 3HP </w:t>
      </w:r>
      <w:proofErr w:type="gramStart"/>
      <w:r>
        <w:rPr>
          <w:rFonts w:asciiTheme="minorHAnsi" w:hAnsiTheme="minorHAnsi" w:cstheme="minorHAnsi"/>
          <w:color w:val="000000"/>
        </w:rPr>
        <w:t>option, and</w:t>
      </w:r>
      <w:proofErr w:type="gramEnd"/>
      <w:r>
        <w:rPr>
          <w:rFonts w:asciiTheme="minorHAnsi" w:hAnsiTheme="minorHAnsi" w:cstheme="minorHAnsi"/>
          <w:color w:val="000000"/>
        </w:rPr>
        <w:t xml:space="preserve"> learned that he did not feel comfortable with weekly visits for DOT, so this was not an option. The patient did feel comfortable with monthly visits and so a self-administered treatment was a more appropriate choice.</w:t>
      </w:r>
    </w:p>
    <w:p w14:paraId="5037A8D1" w14:textId="77777777" w:rsidR="00AE22B1" w:rsidRDefault="00AE22B1" w:rsidP="00AE22B1">
      <w:pPr>
        <w:pStyle w:val="ListParagraph"/>
        <w:numPr>
          <w:ilvl w:val="0"/>
          <w:numId w:val="2"/>
        </w:numPr>
        <w:rPr>
          <w:rFonts w:asciiTheme="minorHAnsi" w:hAnsiTheme="minorHAnsi" w:cstheme="minorHAnsi"/>
        </w:rPr>
      </w:pPr>
      <w:r>
        <w:rPr>
          <w:rFonts w:asciiTheme="minorHAnsi" w:hAnsiTheme="minorHAnsi" w:cstheme="minorHAnsi"/>
          <w:b/>
        </w:rPr>
        <w:t xml:space="preserve">Schedule regular follow-up to support patients throughout treatment. </w:t>
      </w:r>
      <w:r>
        <w:rPr>
          <w:rFonts w:asciiTheme="minorHAnsi" w:hAnsiTheme="minorHAnsi" w:cstheme="minorHAnsi"/>
        </w:rPr>
        <w:t>In this case, the patient had an initial visit and a 1-month follow-up with a provider. He prefers in-person visits and may subsequently follow up with either provider or nurse. We discussed adherence strategies for patients who may need more frequent contact, including:</w:t>
      </w:r>
    </w:p>
    <w:p w14:paraId="02543B90" w14:textId="77777777" w:rsidR="00AE22B1" w:rsidRDefault="00AE22B1" w:rsidP="00AE22B1">
      <w:pPr>
        <w:pStyle w:val="ListParagraph"/>
        <w:numPr>
          <w:ilvl w:val="1"/>
          <w:numId w:val="2"/>
        </w:numPr>
        <w:rPr>
          <w:rFonts w:asciiTheme="minorHAnsi" w:hAnsiTheme="minorHAnsi" w:cstheme="minorHAnsi"/>
        </w:rPr>
      </w:pPr>
      <w:r>
        <w:rPr>
          <w:rFonts w:asciiTheme="minorHAnsi" w:hAnsiTheme="minorHAnsi" w:cstheme="minorHAnsi"/>
          <w:b/>
        </w:rPr>
        <w:t>Coordinate with case managers, CHWs, recovery coaches, and others involved in the patient’s care.</w:t>
      </w:r>
      <w:r>
        <w:rPr>
          <w:rFonts w:asciiTheme="minorHAnsi" w:hAnsiTheme="minorHAnsi" w:cstheme="minorHAnsi"/>
        </w:rPr>
        <w:t xml:space="preserve"> </w:t>
      </w:r>
    </w:p>
    <w:p w14:paraId="747DAA6C" w14:textId="77777777" w:rsidR="00AE22B1" w:rsidRPr="00AE22B1" w:rsidRDefault="00AE22B1" w:rsidP="00AE22B1">
      <w:pPr>
        <w:pStyle w:val="ListParagraph"/>
        <w:numPr>
          <w:ilvl w:val="1"/>
          <w:numId w:val="2"/>
        </w:numPr>
        <w:rPr>
          <w:rFonts w:asciiTheme="minorHAnsi" w:hAnsiTheme="minorHAnsi" w:cstheme="minorHAnsi"/>
        </w:rPr>
      </w:pPr>
      <w:r>
        <w:rPr>
          <w:rFonts w:asciiTheme="minorHAnsi" w:hAnsiTheme="minorHAnsi" w:cstheme="minorHAnsi"/>
          <w:b/>
        </w:rPr>
        <w:lastRenderedPageBreak/>
        <w:t>Ensure the patient has a working phone number, and a number they can call to reach your team at the clinic.</w:t>
      </w:r>
    </w:p>
    <w:p w14:paraId="13FFEA66" w14:textId="77777777" w:rsidR="00AE22B1" w:rsidRPr="00AE22B1" w:rsidRDefault="00AE22B1" w:rsidP="00AE22B1">
      <w:pPr>
        <w:pStyle w:val="ListParagraph"/>
        <w:numPr>
          <w:ilvl w:val="1"/>
          <w:numId w:val="2"/>
        </w:numPr>
        <w:rPr>
          <w:rFonts w:asciiTheme="minorHAnsi" w:hAnsiTheme="minorHAnsi" w:cstheme="minorHAnsi"/>
        </w:rPr>
      </w:pPr>
      <w:r>
        <w:rPr>
          <w:rFonts w:asciiTheme="minorHAnsi" w:hAnsiTheme="minorHAnsi" w:cstheme="minorHAnsi"/>
          <w:b/>
        </w:rPr>
        <w:t>Consider scheduling more frequent visits, particularly for patients who are homeless or living in shelter.</w:t>
      </w:r>
    </w:p>
    <w:p w14:paraId="5BD00A85" w14:textId="77777777" w:rsidR="00AE22B1" w:rsidRDefault="00AE22B1" w:rsidP="00AE22B1">
      <w:pPr>
        <w:pStyle w:val="ListParagraph"/>
        <w:numPr>
          <w:ilvl w:val="1"/>
          <w:numId w:val="2"/>
        </w:numPr>
        <w:rPr>
          <w:rFonts w:asciiTheme="minorHAnsi" w:hAnsiTheme="minorHAnsi" w:cstheme="minorHAnsi"/>
        </w:rPr>
      </w:pPr>
      <w:r>
        <w:rPr>
          <w:rFonts w:asciiTheme="minorHAnsi" w:hAnsiTheme="minorHAnsi" w:cstheme="minorHAnsi"/>
          <w:b/>
        </w:rPr>
        <w:t xml:space="preserve">Use telehealth if patients have barriers to in-person visits. </w:t>
      </w:r>
    </w:p>
    <w:p w14:paraId="57306463" w14:textId="77777777" w:rsidR="00AE22B1" w:rsidRDefault="00AE22B1" w:rsidP="00AE22B1">
      <w:pPr>
        <w:pStyle w:val="ListParagraph"/>
        <w:numPr>
          <w:ilvl w:val="0"/>
          <w:numId w:val="2"/>
        </w:numPr>
        <w:rPr>
          <w:rFonts w:asciiTheme="minorHAnsi" w:hAnsiTheme="minorHAnsi" w:cstheme="minorHAnsi"/>
        </w:rPr>
      </w:pPr>
      <w:r>
        <w:rPr>
          <w:rFonts w:asciiTheme="minorHAnsi" w:hAnsiTheme="minorHAnsi" w:cstheme="minorHAnsi"/>
          <w:b/>
        </w:rPr>
        <w:t xml:space="preserve">Isoniazid is a very appropriate regimen to offer to this patient. </w:t>
      </w:r>
      <w:r>
        <w:rPr>
          <w:rFonts w:asciiTheme="minorHAnsi" w:hAnsiTheme="minorHAnsi" w:cstheme="minorHAnsi"/>
        </w:rPr>
        <w:t xml:space="preserve">INH has been used for years in treatment of LTBI and has an excellent track record overall. It also does not have any of the issues with nitrosamine contamination that have recently come to light with rifampin. INH is a completely appropriate choice for this patient who has no preexisting liver disease and </w:t>
      </w:r>
      <w:proofErr w:type="gramStart"/>
      <w:r>
        <w:rPr>
          <w:rFonts w:asciiTheme="minorHAnsi" w:hAnsiTheme="minorHAnsi" w:cstheme="minorHAnsi"/>
        </w:rPr>
        <w:t>is able to</w:t>
      </w:r>
      <w:proofErr w:type="gramEnd"/>
      <w:r>
        <w:rPr>
          <w:rFonts w:asciiTheme="minorHAnsi" w:hAnsiTheme="minorHAnsi" w:cstheme="minorHAnsi"/>
        </w:rPr>
        <w:t xml:space="preserve"> adhere to a longer self-administered regimen.</w:t>
      </w:r>
    </w:p>
    <w:p w14:paraId="7687FC28" w14:textId="77777777" w:rsidR="00AE22B1" w:rsidRPr="00AE22B1" w:rsidRDefault="00AE22B1"/>
    <w:sectPr w:rsidR="00AE22B1" w:rsidRPr="00AE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85311"/>
    <w:multiLevelType w:val="hybridMultilevel"/>
    <w:tmpl w:val="009A7932"/>
    <w:lvl w:ilvl="0" w:tplc="D79E766E">
      <w:start w:val="1"/>
      <w:numFmt w:val="decimal"/>
      <w:lvlText w:val="%1."/>
      <w:lvlJc w:val="left"/>
      <w:pPr>
        <w:ind w:left="720" w:hanging="360"/>
      </w:pPr>
      <w:rPr>
        <w:rFonts w:eastAsia="Calibr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19973BD"/>
    <w:multiLevelType w:val="hybridMultilevel"/>
    <w:tmpl w:val="17686D8E"/>
    <w:lvl w:ilvl="0" w:tplc="E7B0D8C8">
      <w:start w:val="1"/>
      <w:numFmt w:val="decimal"/>
      <w:lvlText w:val="%1."/>
      <w:lvlJc w:val="left"/>
      <w:pPr>
        <w:ind w:left="720" w:hanging="360"/>
      </w:pPr>
      <w:rPr>
        <w:rFonts w:eastAsia="Calibri"/>
        <w:b/>
        <w:color w:val="auto"/>
      </w:rPr>
    </w:lvl>
    <w:lvl w:ilvl="1" w:tplc="68B6A71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B1"/>
    <w:rsid w:val="001B05BC"/>
    <w:rsid w:val="007D0119"/>
    <w:rsid w:val="00AD5FEB"/>
    <w:rsid w:val="00AE22B1"/>
    <w:rsid w:val="00DD0107"/>
    <w:rsid w:val="00E5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771D"/>
  <w15:chartTrackingRefBased/>
  <w15:docId w15:val="{DFFD79BC-3DD2-4C12-830E-627F4C4F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2B1"/>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9" ma:contentTypeDescription="Create a new document." ma:contentTypeScope="" ma:versionID="ad7ccc189bd73657b5ea025ec678c4a5">
  <xsd:schema xmlns:xsd="http://www.w3.org/2001/XMLSchema" xmlns:xs="http://www.w3.org/2001/XMLSchema" xmlns:p="http://schemas.microsoft.com/office/2006/metadata/properties" xmlns:ns3="94064097-2571-4b59-be25-dd8671d3c47e" targetNamespace="http://schemas.microsoft.com/office/2006/metadata/properties" ma:root="true" ma:fieldsID="218bb3ef00131a34841ff2deae990e6e" ns3:_="">
    <xsd:import namespace="94064097-2571-4b59-be25-dd8671d3c4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E9ADB-A6F1-4F6C-B9DB-813AF7C617DA}">
  <ds:schemaRefs>
    <ds:schemaRef ds:uri="http://schemas.microsoft.com/sharepoint/v3/contenttype/forms"/>
  </ds:schemaRefs>
</ds:datastoreItem>
</file>

<file path=customXml/itemProps2.xml><?xml version="1.0" encoding="utf-8"?>
<ds:datastoreItem xmlns:ds="http://schemas.openxmlformats.org/officeDocument/2006/customXml" ds:itemID="{F8E5810F-FA3C-42B7-8B1C-6A538B70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12681-C56C-4FAD-9557-65CAE30EE6FD}">
  <ds:schemaRefs>
    <ds:schemaRef ds:uri="http://www.w3.org/XML/1998/namespace"/>
    <ds:schemaRef ds:uri="http://purl.org/dc/dcmitype/"/>
    <ds:schemaRef ds:uri="http://schemas.microsoft.com/office/2006/documentManagement/types"/>
    <ds:schemaRef ds:uri="http://schemas.microsoft.com/office/infopath/2007/PartnerControls"/>
    <ds:schemaRef ds:uri="94064097-2571-4b59-be25-dd8671d3c47e"/>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4</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2021-07-21T13:00:00Z</dcterms:created>
  <dcterms:modified xsi:type="dcterms:W3CDTF">2021-07-21T13:00:00Z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