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183EA" w14:textId="6FCF53F7" w:rsidR="00A07B14" w:rsidRDefault="008C515D" w:rsidP="00C278AC">
      <w:pPr>
        <w:spacing w:after="0" w:line="240" w:lineRule="auto"/>
        <w:rPr>
          <w:b/>
          <w:u w:val="single"/>
        </w:rPr>
      </w:pPr>
      <w:r w:rsidRPr="008C515D">
        <w:rPr>
          <w:b/>
          <w:u w:val="single"/>
        </w:rPr>
        <w:t xml:space="preserve">MA LTBI ECHO </w:t>
      </w:r>
      <w:r w:rsidR="006A3A60">
        <w:rPr>
          <w:b/>
          <w:u w:val="single"/>
        </w:rPr>
        <w:t>Key Take-Home Points, Session #</w:t>
      </w:r>
      <w:r w:rsidR="005154EF">
        <w:rPr>
          <w:b/>
          <w:u w:val="single"/>
        </w:rPr>
        <w:t>5 2/11/21</w:t>
      </w:r>
    </w:p>
    <w:p w14:paraId="503312DC" w14:textId="3E77758F" w:rsidR="00A07B14" w:rsidRPr="00992414" w:rsidRDefault="00A07B14" w:rsidP="00A07B14">
      <w:pPr>
        <w:spacing w:before="100" w:beforeAutospacing="1" w:after="100" w:afterAutospacing="1"/>
      </w:pPr>
      <w:r>
        <w:rPr>
          <w:b/>
        </w:rPr>
        <w:t xml:space="preserve">1.  </w:t>
      </w:r>
      <w:r w:rsidRPr="004C16F0">
        <w:rPr>
          <w:b/>
        </w:rPr>
        <w:t>I</w:t>
      </w:r>
      <w:r>
        <w:rPr>
          <w:b/>
        </w:rPr>
        <w:t xml:space="preserve">t is critical to monitor patients on LTBI treatment for symptoms of active TB. </w:t>
      </w:r>
      <w:r>
        <w:t>Patients may present with symptoms of active TB during LTBI treatment. Although rare, active TB could occur in this situation after an incomplete initial evaluation (</w:t>
      </w:r>
      <w:proofErr w:type="gramStart"/>
      <w:r>
        <w:t>i.e.</w:t>
      </w:r>
      <w:proofErr w:type="gramEnd"/>
      <w:r>
        <w:t xml:space="preserve"> the patient had presented with active TB initially, but was incorrectly thought to have latent TB), or simply because a patient in the midst of treatment has not yet completed the full course to of </w:t>
      </w:r>
      <w:proofErr w:type="spellStart"/>
      <w:r>
        <w:t>antituberculous</w:t>
      </w:r>
      <w:proofErr w:type="spellEnd"/>
      <w:r>
        <w:t xml:space="preserve"> medication. </w:t>
      </w:r>
    </w:p>
    <w:p w14:paraId="51940DA8" w14:textId="77777777" w:rsidR="00BB4DB6" w:rsidRDefault="00A07B14" w:rsidP="00A07B14">
      <w:pPr>
        <w:spacing w:before="100" w:beforeAutospacing="1" w:after="100" w:afterAutospacing="1"/>
        <w:rPr>
          <w:b/>
        </w:rPr>
      </w:pPr>
      <w:r>
        <w:rPr>
          <w:b/>
        </w:rPr>
        <w:t xml:space="preserve">2. If </w:t>
      </w:r>
      <w:r w:rsidR="00BB4DB6">
        <w:rPr>
          <w:b/>
        </w:rPr>
        <w:t>concerning symptoms are present,</w:t>
      </w:r>
      <w:r>
        <w:rPr>
          <w:b/>
        </w:rPr>
        <w:t xml:space="preserve"> </w:t>
      </w:r>
      <w:r w:rsidR="00BB4DB6">
        <w:rPr>
          <w:b/>
        </w:rPr>
        <w:t xml:space="preserve">you will need to consider whether to </w:t>
      </w:r>
      <w:r>
        <w:rPr>
          <w:b/>
        </w:rPr>
        <w:t>pause treatment to evaluate the patient and rule out active TB</w:t>
      </w:r>
      <w:r w:rsidR="00BB4DB6">
        <w:rPr>
          <w:b/>
        </w:rPr>
        <w:t>, or whether to continue treatment during the evaluation</w:t>
      </w:r>
      <w:r>
        <w:rPr>
          <w:b/>
        </w:rPr>
        <w:t xml:space="preserve">. </w:t>
      </w:r>
    </w:p>
    <w:p w14:paraId="31E8C9FC" w14:textId="683BD7BA" w:rsidR="00BB4DB6" w:rsidRDefault="00BB4DB6" w:rsidP="00C145E6">
      <w:pPr>
        <w:spacing w:before="100" w:beforeAutospacing="1" w:after="100" w:afterAutospacing="1"/>
        <w:ind w:left="720"/>
      </w:pPr>
      <w:r w:rsidRPr="00C145E6">
        <w:rPr>
          <w:b/>
        </w:rPr>
        <w:t>a. Pausing treatment</w:t>
      </w:r>
      <w:r>
        <w:t xml:space="preserve"> minimizes exposure to one-drug therapy in a patient who may have active TB (which we know can lead to drug resistance). </w:t>
      </w:r>
      <w:r w:rsidR="00C145E6">
        <w:t xml:space="preserve">It is reasonable to pause treatment and then resume after active TB has been fully ruled out (remembering the “wiggle room” built into each regimen: 9mo/270 doses of INH must be completed in 12mo, 4mo/120 doses of RIF in 6mo). In this week’s case, the patient had been on INH for 4 months, and the provider chose to hold INH while pursuing active TB workup, with plans to resume after a negative evaluation. </w:t>
      </w:r>
    </w:p>
    <w:p w14:paraId="5176FADF" w14:textId="2B7517FE" w:rsidR="00C145E6" w:rsidRDefault="00C145E6" w:rsidP="00BB4DB6">
      <w:pPr>
        <w:spacing w:before="100" w:beforeAutospacing="1" w:after="100" w:afterAutospacing="1"/>
        <w:ind w:left="720"/>
      </w:pPr>
      <w:r w:rsidRPr="00C145E6">
        <w:rPr>
          <w:b/>
        </w:rPr>
        <w:t>b. Continuing treatment</w:t>
      </w:r>
      <w:r>
        <w:t xml:space="preserve"> may also be appropriate, given that a patient in this situation has already been exposed to drug monotherapy (so, if they have active TB, resistance may already have developed). It is reasonable to continue treatment if you have relatively low suspicion for active TB (</w:t>
      </w:r>
      <w:proofErr w:type="gramStart"/>
      <w:r>
        <w:t>e.g.</w:t>
      </w:r>
      <w:proofErr w:type="gramEnd"/>
      <w:r>
        <w:t xml:space="preserve"> another leading diagnosis that could explain symptoms) and do not want to subject the patient to a treatment interruption.</w:t>
      </w:r>
    </w:p>
    <w:p w14:paraId="63CA8767" w14:textId="7DE5A105" w:rsidR="00A07B14" w:rsidRDefault="00C145E6" w:rsidP="00A07B14">
      <w:pPr>
        <w:spacing w:before="100" w:beforeAutospacing="1" w:after="100" w:afterAutospacing="1"/>
      </w:pPr>
      <w:r>
        <w:rPr>
          <w:b/>
        </w:rPr>
        <w:t>3.</w:t>
      </w:r>
      <w:r w:rsidR="00A07B14">
        <w:rPr>
          <w:b/>
        </w:rPr>
        <w:t xml:space="preserve"> COVID may cloud the clinical picture. </w:t>
      </w:r>
      <w:r w:rsidR="00A07B14">
        <w:t xml:space="preserve">COVID and pulmonary TB disease share several respiratory symptoms. </w:t>
      </w:r>
      <w:proofErr w:type="gramStart"/>
      <w:r w:rsidR="00A07B14">
        <w:t>It’s</w:t>
      </w:r>
      <w:proofErr w:type="gramEnd"/>
      <w:r w:rsidR="00A07B14">
        <w:t xml:space="preserve"> important to rule out COVID as part of your evaluation of a patient who presents with cough/concern for active TB.</w:t>
      </w:r>
    </w:p>
    <w:p w14:paraId="2BA5078D" w14:textId="75F2C416" w:rsidR="00C145E6" w:rsidRDefault="00C145E6" w:rsidP="00C145E6">
      <w:pPr>
        <w:spacing w:before="100" w:beforeAutospacing="1" w:after="100" w:afterAutospacing="1"/>
      </w:pPr>
      <w:r>
        <w:rPr>
          <w:b/>
        </w:rPr>
        <w:t>4. Never hesitate to consult the experts with questions or conc</w:t>
      </w:r>
      <w:r w:rsidR="00A535C0">
        <w:rPr>
          <w:b/>
        </w:rPr>
        <w:t>erns about TB infection/disease!</w:t>
      </w:r>
      <w:r>
        <w:rPr>
          <w:b/>
        </w:rPr>
        <w:t xml:space="preserve"> </w:t>
      </w:r>
      <w:r>
        <w:t xml:space="preserve">MA DPH and your local TB clinic are excellent resources. Contact DPH at </w:t>
      </w:r>
      <w:r>
        <w:rPr>
          <w:b/>
        </w:rPr>
        <w:t>617-983-6970</w:t>
      </w:r>
      <w:r>
        <w:rPr>
          <w:b/>
          <w:i/>
        </w:rPr>
        <w:t xml:space="preserve"> </w:t>
      </w:r>
      <w:r>
        <w:t xml:space="preserve">during business hours and ask for the epidemiologist on call; contact </w:t>
      </w:r>
      <w:r>
        <w:rPr>
          <w:b/>
        </w:rPr>
        <w:t>617-983-6800</w:t>
      </w:r>
      <w:r>
        <w:t xml:space="preserve"> after hours for the answering service.</w:t>
      </w:r>
      <w:r>
        <w:rPr>
          <w:b/>
        </w:rPr>
        <w:t xml:space="preserve"> </w:t>
      </w:r>
    </w:p>
    <w:p w14:paraId="06AF14F2" w14:textId="77777777" w:rsidR="00C145E6" w:rsidRPr="00C145E6" w:rsidRDefault="00C145E6" w:rsidP="00C145E6">
      <w:pPr>
        <w:spacing w:before="100" w:beforeAutospacing="1" w:after="100" w:afterAutospacing="1"/>
        <w:rPr>
          <w:b/>
        </w:rPr>
      </w:pPr>
    </w:p>
    <w:sectPr w:rsidR="00C145E6" w:rsidRPr="00C14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E6B58"/>
    <w:multiLevelType w:val="hybridMultilevel"/>
    <w:tmpl w:val="C97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82D71"/>
    <w:multiLevelType w:val="hybridMultilevel"/>
    <w:tmpl w:val="B0204618"/>
    <w:lvl w:ilvl="0" w:tplc="A9688876">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E6793"/>
    <w:multiLevelType w:val="hybridMultilevel"/>
    <w:tmpl w:val="8864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60D84"/>
    <w:multiLevelType w:val="hybridMultilevel"/>
    <w:tmpl w:val="5EC2D47A"/>
    <w:lvl w:ilvl="0" w:tplc="7950823A">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AC"/>
    <w:rsid w:val="001B05BC"/>
    <w:rsid w:val="00214D84"/>
    <w:rsid w:val="005154EF"/>
    <w:rsid w:val="006A3A60"/>
    <w:rsid w:val="00725266"/>
    <w:rsid w:val="00794EF3"/>
    <w:rsid w:val="007D0119"/>
    <w:rsid w:val="008C515D"/>
    <w:rsid w:val="00A07B14"/>
    <w:rsid w:val="00A535C0"/>
    <w:rsid w:val="00AD5FEB"/>
    <w:rsid w:val="00BB4DB6"/>
    <w:rsid w:val="00C145E6"/>
    <w:rsid w:val="00C278AC"/>
    <w:rsid w:val="00D072D3"/>
    <w:rsid w:val="00F6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516"/>
  <w15:chartTrackingRefBased/>
  <w15:docId w15:val="{636E63EA-3C71-43C4-82BD-BB18AF23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7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139216">
      <w:bodyDiv w:val="1"/>
      <w:marLeft w:val="0"/>
      <w:marRight w:val="0"/>
      <w:marTop w:val="0"/>
      <w:marBottom w:val="0"/>
      <w:divBdr>
        <w:top w:val="none" w:sz="0" w:space="0" w:color="auto"/>
        <w:left w:val="none" w:sz="0" w:space="0" w:color="auto"/>
        <w:bottom w:val="none" w:sz="0" w:space="0" w:color="auto"/>
        <w:right w:val="none" w:sz="0" w:space="0" w:color="auto"/>
      </w:divBdr>
    </w:div>
    <w:div w:id="522865934">
      <w:bodyDiv w:val="1"/>
      <w:marLeft w:val="0"/>
      <w:marRight w:val="0"/>
      <w:marTop w:val="0"/>
      <w:marBottom w:val="0"/>
      <w:divBdr>
        <w:top w:val="none" w:sz="0" w:space="0" w:color="auto"/>
        <w:left w:val="none" w:sz="0" w:space="0" w:color="auto"/>
        <w:bottom w:val="none" w:sz="0" w:space="0" w:color="auto"/>
        <w:right w:val="none" w:sz="0" w:space="0" w:color="auto"/>
      </w:divBdr>
      <w:divsChild>
        <w:div w:id="584265542">
          <w:marLeft w:val="0"/>
          <w:marRight w:val="0"/>
          <w:marTop w:val="0"/>
          <w:marBottom w:val="0"/>
          <w:divBdr>
            <w:top w:val="none" w:sz="0" w:space="0" w:color="auto"/>
            <w:left w:val="none" w:sz="0" w:space="0" w:color="auto"/>
            <w:bottom w:val="none" w:sz="0" w:space="0" w:color="auto"/>
            <w:right w:val="none" w:sz="0" w:space="0" w:color="auto"/>
          </w:divBdr>
          <w:divsChild>
            <w:div w:id="276497025">
              <w:marLeft w:val="0"/>
              <w:marRight w:val="0"/>
              <w:marTop w:val="0"/>
              <w:marBottom w:val="0"/>
              <w:divBdr>
                <w:top w:val="none" w:sz="0" w:space="0" w:color="auto"/>
                <w:left w:val="none" w:sz="0" w:space="0" w:color="auto"/>
                <w:bottom w:val="none" w:sz="0" w:space="0" w:color="auto"/>
                <w:right w:val="none" w:sz="0" w:space="0" w:color="auto"/>
              </w:divBdr>
              <w:divsChild>
                <w:div w:id="1849130090">
                  <w:marLeft w:val="0"/>
                  <w:marRight w:val="0"/>
                  <w:marTop w:val="120"/>
                  <w:marBottom w:val="0"/>
                  <w:divBdr>
                    <w:top w:val="none" w:sz="0" w:space="0" w:color="auto"/>
                    <w:left w:val="none" w:sz="0" w:space="0" w:color="auto"/>
                    <w:bottom w:val="none" w:sz="0" w:space="0" w:color="auto"/>
                    <w:right w:val="none" w:sz="0" w:space="0" w:color="auto"/>
                  </w:divBdr>
                  <w:divsChild>
                    <w:div w:id="596913495">
                      <w:marLeft w:val="0"/>
                      <w:marRight w:val="0"/>
                      <w:marTop w:val="0"/>
                      <w:marBottom w:val="0"/>
                      <w:divBdr>
                        <w:top w:val="none" w:sz="0" w:space="0" w:color="auto"/>
                        <w:left w:val="none" w:sz="0" w:space="0" w:color="auto"/>
                        <w:bottom w:val="none" w:sz="0" w:space="0" w:color="auto"/>
                        <w:right w:val="none" w:sz="0" w:space="0" w:color="auto"/>
                      </w:divBdr>
                      <w:divsChild>
                        <w:div w:id="1924219666">
                          <w:marLeft w:val="0"/>
                          <w:marRight w:val="0"/>
                          <w:marTop w:val="0"/>
                          <w:marBottom w:val="0"/>
                          <w:divBdr>
                            <w:top w:val="none" w:sz="0" w:space="0" w:color="auto"/>
                            <w:left w:val="none" w:sz="0" w:space="0" w:color="auto"/>
                            <w:bottom w:val="none" w:sz="0" w:space="0" w:color="auto"/>
                            <w:right w:val="none" w:sz="0" w:space="0" w:color="auto"/>
                          </w:divBdr>
                          <w:divsChild>
                            <w:div w:id="1815291456">
                              <w:marLeft w:val="0"/>
                              <w:marRight w:val="0"/>
                              <w:marTop w:val="0"/>
                              <w:marBottom w:val="0"/>
                              <w:divBdr>
                                <w:top w:val="none" w:sz="0" w:space="0" w:color="auto"/>
                                <w:left w:val="none" w:sz="0" w:space="0" w:color="auto"/>
                                <w:bottom w:val="none" w:sz="0" w:space="0" w:color="auto"/>
                                <w:right w:val="none" w:sz="0" w:space="0" w:color="auto"/>
                              </w:divBdr>
                              <w:divsChild>
                                <w:div w:id="1297443567">
                                  <w:marLeft w:val="0"/>
                                  <w:marRight w:val="0"/>
                                  <w:marTop w:val="0"/>
                                  <w:marBottom w:val="0"/>
                                  <w:divBdr>
                                    <w:top w:val="none" w:sz="0" w:space="0" w:color="auto"/>
                                    <w:left w:val="none" w:sz="0" w:space="0" w:color="auto"/>
                                    <w:bottom w:val="none" w:sz="0" w:space="0" w:color="auto"/>
                                    <w:right w:val="none" w:sz="0" w:space="0" w:color="auto"/>
                                  </w:divBdr>
                                  <w:divsChild>
                                    <w:div w:id="1216895801">
                                      <w:marLeft w:val="0"/>
                                      <w:marRight w:val="0"/>
                                      <w:marTop w:val="30"/>
                                      <w:marBottom w:val="0"/>
                                      <w:divBdr>
                                        <w:top w:val="none" w:sz="0" w:space="0" w:color="auto"/>
                                        <w:left w:val="none" w:sz="0" w:space="0" w:color="auto"/>
                                        <w:bottom w:val="none" w:sz="0" w:space="0" w:color="auto"/>
                                        <w:right w:val="none" w:sz="0" w:space="0" w:color="auto"/>
                                      </w:divBdr>
                                      <w:divsChild>
                                        <w:div w:id="13471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8" ma:contentTypeDescription="Create a new document." ma:contentTypeScope="" ma:versionID="730a651b217b4f86e9197e6a4e3d7700">
  <xsd:schema xmlns:xsd="http://www.w3.org/2001/XMLSchema" xmlns:xs="http://www.w3.org/2001/XMLSchema" xmlns:p="http://schemas.microsoft.com/office/2006/metadata/properties" xmlns:ns3="94064097-2571-4b59-be25-dd8671d3c47e" targetNamespace="http://schemas.microsoft.com/office/2006/metadata/properties" ma:root="true" ma:fieldsID="b0e7f0c5f9615d4bda0337cc5743693f" ns3:_="">
    <xsd:import namespace="94064097-2571-4b59-be25-dd8671d3c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1B791-5572-43F4-9DDB-653E40EE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D379C-0EF2-44C3-B0D8-4DE8004395A8}">
  <ds:schemaRefs>
    <ds:schemaRef ds:uri="http://schemas.microsoft.com/sharepoint/v3/contenttype/forms"/>
  </ds:schemaRefs>
</ds:datastoreItem>
</file>

<file path=customXml/itemProps3.xml><?xml version="1.0" encoding="utf-8"?>
<ds:datastoreItem xmlns:ds="http://schemas.openxmlformats.org/officeDocument/2006/customXml" ds:itemID="{DA9D4D34-8BB4-40D5-B6C1-904B44665B69}">
  <ds:schemaRefs>
    <ds:schemaRef ds:uri="http://purl.org/dc/dcmitype/"/>
    <ds:schemaRef ds:uri="http://schemas.openxmlformats.org/package/2006/metadata/core-properties"/>
    <ds:schemaRef ds:uri="94064097-2571-4b59-be25-dd8671d3c47e"/>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2021-02-16T21:23:00Z</dcterms:created>
  <dcterms:modified xsi:type="dcterms:W3CDTF">2021-02-16T21:23:00Z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